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108A4">
      <w:pPr>
        <w:jc w:val="center"/>
        <w:rPr>
          <w:rFonts w:hint="eastAsia" w:ascii="宋体" w:hAnsi="宋体"/>
          <w:b/>
          <w:color w:val="auto"/>
          <w:sz w:val="72"/>
          <w:highlight w:val="none"/>
        </w:rPr>
      </w:pPr>
      <w:bookmarkStart w:id="2" w:name="_GoBack"/>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7498DE7B">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1E708A8E">
      <w:pPr>
        <w:spacing w:line="360" w:lineRule="auto"/>
        <w:jc w:val="center"/>
        <w:rPr>
          <w:rFonts w:hint="eastAsia" w:ascii="宋体" w:hAnsi="宋体" w:eastAsia="宋体"/>
          <w:b/>
          <w:color w:val="auto"/>
          <w:sz w:val="72"/>
          <w:highlight w:val="none"/>
          <w:lang w:val="en-US" w:eastAsia="zh-CN"/>
        </w:rPr>
      </w:pPr>
      <w:r>
        <w:rPr>
          <w:rFonts w:hint="eastAsia" w:ascii="宋体" w:hAnsi="宋体"/>
          <w:b/>
          <w:color w:val="auto"/>
          <w:sz w:val="72"/>
          <w:highlight w:val="none"/>
        </w:rPr>
        <w:t>招   标   文   件</w:t>
      </w:r>
      <w:r>
        <w:rPr>
          <w:rFonts w:hint="eastAsia" w:ascii="宋体" w:hAnsi="宋体"/>
          <w:b/>
          <w:color w:val="auto"/>
          <w:sz w:val="72"/>
          <w:highlight w:val="none"/>
          <w:lang w:val="en-US" w:eastAsia="zh-CN"/>
        </w:rPr>
        <w:t xml:space="preserve"> </w:t>
      </w:r>
    </w:p>
    <w:p w14:paraId="6CB8689C">
      <w:pPr>
        <w:spacing w:line="360" w:lineRule="auto"/>
        <w:ind w:firstLine="1438" w:firstLineChars="398"/>
        <w:rPr>
          <w:rFonts w:hint="eastAsia" w:ascii="宋体" w:hAnsi="宋体"/>
          <w:b/>
          <w:color w:val="auto"/>
          <w:sz w:val="36"/>
          <w:highlight w:val="none"/>
        </w:rPr>
      </w:pPr>
    </w:p>
    <w:p w14:paraId="62408630">
      <w:pPr>
        <w:spacing w:line="360" w:lineRule="auto"/>
        <w:ind w:firstLine="1438" w:firstLineChars="398"/>
        <w:rPr>
          <w:rFonts w:hint="eastAsia" w:ascii="宋体" w:hAnsi="宋体"/>
          <w:b/>
          <w:color w:val="auto"/>
          <w:sz w:val="36"/>
          <w:highlight w:val="none"/>
        </w:rPr>
      </w:pPr>
    </w:p>
    <w:p w14:paraId="51CBD533">
      <w:pPr>
        <w:spacing w:line="360" w:lineRule="auto"/>
        <w:ind w:firstLine="1438" w:firstLineChars="398"/>
        <w:rPr>
          <w:rFonts w:hint="eastAsia" w:ascii="宋体" w:hAnsi="宋体"/>
          <w:b/>
          <w:color w:val="auto"/>
          <w:sz w:val="36"/>
          <w:highlight w:val="none"/>
        </w:rPr>
      </w:pPr>
    </w:p>
    <w:p w14:paraId="445FFC39">
      <w:pPr>
        <w:spacing w:line="360" w:lineRule="auto"/>
        <w:ind w:firstLine="1438" w:firstLineChars="398"/>
        <w:rPr>
          <w:rFonts w:hint="eastAsia" w:ascii="宋体" w:hAnsi="宋体"/>
          <w:b/>
          <w:color w:val="auto"/>
          <w:sz w:val="36"/>
          <w:highlight w:val="none"/>
        </w:rPr>
      </w:pPr>
    </w:p>
    <w:p w14:paraId="52B608DC">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 xml:space="preserve">招 标 </w:t>
      </w:r>
      <w:r>
        <w:rPr>
          <w:rFonts w:hint="eastAsia" w:ascii="宋体" w:hAnsi="宋体"/>
          <w:b/>
          <w:color w:val="auto"/>
          <w:sz w:val="36"/>
          <w:highlight w:val="none"/>
        </w:rPr>
        <w:t>编 号：</w:t>
      </w:r>
      <w:r>
        <w:rPr>
          <w:rFonts w:hint="eastAsia" w:ascii="宋体" w:hAnsi="宋体"/>
          <w:b/>
          <w:color w:val="auto"/>
          <w:sz w:val="36"/>
          <w:highlight w:val="none"/>
          <w:u w:val="single"/>
          <w:lang w:eastAsia="zh-CN"/>
        </w:rPr>
        <w:t>XM2026-DZ0015</w:t>
      </w:r>
    </w:p>
    <w:p w14:paraId="2CC36621">
      <w:pPr>
        <w:spacing w:line="360" w:lineRule="auto"/>
        <w:ind w:left="3948" w:leftChars="684" w:hanging="2512" w:hangingChars="695"/>
        <w:rPr>
          <w:rFonts w:hint="eastAsia" w:ascii="宋体" w:hAnsi="宋体"/>
          <w:b/>
          <w:color w:val="auto"/>
          <w:sz w:val="36"/>
          <w:highlight w:val="none"/>
          <w:u w:val="single"/>
        </w:rPr>
      </w:pPr>
      <w:r>
        <w:rPr>
          <w:rFonts w:hint="eastAsia" w:ascii="宋体" w:hAnsi="宋体"/>
          <w:b/>
          <w:color w:val="auto"/>
          <w:sz w:val="36"/>
          <w:highlight w:val="none"/>
        </w:rPr>
        <w:t>项 目 名 称：</w:t>
      </w:r>
      <w:r>
        <w:rPr>
          <w:rFonts w:hint="eastAsia" w:ascii="宋体" w:hAnsi="宋体"/>
          <w:b/>
          <w:color w:val="auto"/>
          <w:sz w:val="36"/>
          <w:highlight w:val="none"/>
          <w:u w:val="single"/>
          <w:lang w:val="en-US" w:eastAsia="zh-CN"/>
        </w:rPr>
        <w:t>思明校区高中部日新楼宿舍家具部分更新采购项目</w:t>
      </w:r>
    </w:p>
    <w:p w14:paraId="51E88984">
      <w:pPr>
        <w:spacing w:line="360" w:lineRule="auto"/>
        <w:ind w:firstLine="1438" w:firstLineChars="398"/>
        <w:rPr>
          <w:rFonts w:hint="eastAsia" w:ascii="宋体" w:hAnsi="宋体"/>
          <w:b/>
          <w:color w:val="auto"/>
          <w:sz w:val="36"/>
          <w:highlight w:val="none"/>
        </w:rPr>
      </w:pPr>
    </w:p>
    <w:p w14:paraId="1C739D75">
      <w:pPr>
        <w:spacing w:line="360" w:lineRule="auto"/>
        <w:ind w:firstLine="1438" w:firstLineChars="398"/>
        <w:rPr>
          <w:rFonts w:hint="eastAsia" w:ascii="宋体" w:hAnsi="宋体"/>
          <w:b/>
          <w:color w:val="auto"/>
          <w:sz w:val="36"/>
          <w:highlight w:val="none"/>
        </w:rPr>
      </w:pPr>
    </w:p>
    <w:p w14:paraId="103099EB">
      <w:pPr>
        <w:spacing w:line="360" w:lineRule="auto"/>
        <w:ind w:firstLine="1438" w:firstLineChars="398"/>
        <w:rPr>
          <w:rFonts w:hint="eastAsia" w:ascii="宋体" w:hAnsi="宋体"/>
          <w:b/>
          <w:color w:val="auto"/>
          <w:sz w:val="36"/>
          <w:highlight w:val="none"/>
        </w:rPr>
      </w:pPr>
    </w:p>
    <w:p w14:paraId="43DE68BC">
      <w:pPr>
        <w:spacing w:line="360" w:lineRule="auto"/>
        <w:ind w:firstLine="1438" w:firstLineChars="398"/>
        <w:rPr>
          <w:rFonts w:hint="eastAsia" w:ascii="宋体" w:hAnsi="宋体"/>
          <w:b/>
          <w:color w:val="auto"/>
          <w:sz w:val="36"/>
          <w:highlight w:val="none"/>
        </w:rPr>
      </w:pPr>
    </w:p>
    <w:p w14:paraId="0699A0EB">
      <w:pPr>
        <w:spacing w:line="360" w:lineRule="auto"/>
        <w:ind w:firstLine="1438" w:firstLineChars="398"/>
        <w:rPr>
          <w:rFonts w:hint="eastAsia" w:ascii="宋体" w:hAnsi="宋体"/>
          <w:b/>
          <w:color w:val="auto"/>
          <w:sz w:val="36"/>
          <w:highlight w:val="none"/>
        </w:rPr>
      </w:pPr>
    </w:p>
    <w:p w14:paraId="78D00C36">
      <w:pPr>
        <w:pStyle w:val="7"/>
        <w:ind w:firstLine="1445" w:firstLineChars="400"/>
        <w:jc w:val="left"/>
        <w:rPr>
          <w:rFonts w:hint="eastAsia" w:hAnsi="宋体" w:eastAsia="宋体" w:cs="宋体"/>
          <w:b/>
          <w:color w:val="auto"/>
          <w:spacing w:val="20"/>
          <w:sz w:val="32"/>
          <w:highlight w:val="none"/>
          <w:lang w:eastAsia="zh-CN"/>
        </w:rPr>
      </w:pPr>
      <w:r>
        <w:rPr>
          <w:rFonts w:hint="eastAsia" w:hAnsi="宋体" w:cs="宋体"/>
          <w:b/>
          <w:color w:val="auto"/>
          <w:spacing w:val="20"/>
          <w:sz w:val="32"/>
          <w:highlight w:val="none"/>
        </w:rPr>
        <w:t>使用单位：</w:t>
      </w:r>
      <w:r>
        <w:rPr>
          <w:rFonts w:hint="eastAsia" w:hAnsi="宋体" w:cs="宋体"/>
          <w:b/>
          <w:color w:val="auto"/>
          <w:spacing w:val="20"/>
          <w:sz w:val="32"/>
          <w:szCs w:val="32"/>
          <w:highlight w:val="none"/>
          <w:lang w:eastAsia="zh-CN"/>
        </w:rPr>
        <w:t>福建省厦门第一中学</w:t>
      </w:r>
    </w:p>
    <w:p w14:paraId="5F50EE53">
      <w:pPr>
        <w:pStyle w:val="7"/>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6E3888C8">
      <w:pPr>
        <w:pStyle w:val="7"/>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19E20F60">
      <w:pPr>
        <w:spacing w:line="360" w:lineRule="auto"/>
        <w:ind w:firstLine="1438" w:firstLineChars="398"/>
        <w:rPr>
          <w:rFonts w:hint="eastAsia" w:ascii="宋体" w:hAnsi="宋体"/>
          <w:b/>
          <w:color w:val="auto"/>
          <w:sz w:val="36"/>
          <w:highlight w:val="none"/>
        </w:rPr>
      </w:pPr>
    </w:p>
    <w:p w14:paraId="75A3064E">
      <w:pPr>
        <w:pStyle w:val="7"/>
        <w:spacing w:line="360" w:lineRule="auto"/>
        <w:jc w:val="center"/>
        <w:outlineLvl w:val="9"/>
        <w:rPr>
          <w:rFonts w:hint="default" w:hAnsi="宋体" w:eastAsia="宋体"/>
          <w:b/>
          <w:color w:val="auto"/>
          <w:sz w:val="32"/>
          <w:highlight w:val="none"/>
          <w:lang w:val="en-US" w:eastAsia="zh-CN"/>
        </w:rPr>
      </w:pPr>
      <w:r>
        <w:rPr>
          <w:rFonts w:hint="eastAsia" w:hAnsi="宋体"/>
          <w:b/>
          <w:color w:val="auto"/>
          <w:sz w:val="32"/>
          <w:highlight w:val="none"/>
          <w:lang w:eastAsia="zh-CN"/>
        </w:rPr>
        <w:t>2026</w:t>
      </w:r>
      <w:r>
        <w:rPr>
          <w:rFonts w:hint="eastAsia" w:hAnsi="宋体"/>
          <w:b/>
          <w:color w:val="auto"/>
          <w:sz w:val="32"/>
          <w:highlight w:val="none"/>
        </w:rPr>
        <w:t>年</w:t>
      </w:r>
      <w:r>
        <w:rPr>
          <w:rFonts w:hint="eastAsia" w:hAnsi="宋体"/>
          <w:b/>
          <w:color w:val="auto"/>
          <w:sz w:val="32"/>
          <w:highlight w:val="none"/>
          <w:lang w:val="en-US" w:eastAsia="zh-CN"/>
        </w:rPr>
        <w:t>4月</w:t>
      </w:r>
    </w:p>
    <w:p w14:paraId="7C5D613E">
      <w:pPr>
        <w:pStyle w:val="7"/>
        <w:spacing w:line="360" w:lineRule="auto"/>
        <w:jc w:val="center"/>
        <w:outlineLvl w:val="9"/>
        <w:rPr>
          <w:rFonts w:hint="eastAsia" w:hAnsi="宋体"/>
          <w:b/>
          <w:color w:val="auto"/>
          <w:sz w:val="32"/>
          <w:highlight w:val="none"/>
        </w:rPr>
      </w:pPr>
    </w:p>
    <w:p w14:paraId="15AD2369">
      <w:pPr>
        <w:pStyle w:val="7"/>
        <w:spacing w:line="360" w:lineRule="auto"/>
        <w:jc w:val="center"/>
        <w:outlineLvl w:val="9"/>
        <w:rPr>
          <w:rFonts w:hint="eastAsia" w:hAnsi="宋体"/>
          <w:b/>
          <w:color w:val="auto"/>
          <w:sz w:val="32"/>
          <w:highlight w:val="none"/>
        </w:rPr>
      </w:pPr>
    </w:p>
    <w:p w14:paraId="0C237B12">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157A334C">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199BF54B">
      <w:pPr>
        <w:rPr>
          <w:rFonts w:hint="eastAsia" w:ascii="宋体" w:hAnsi="宋体" w:eastAsia="宋体" w:cs="宋体"/>
          <w:color w:val="auto"/>
          <w:sz w:val="24"/>
          <w:szCs w:val="24"/>
          <w:highlight w:val="none"/>
        </w:rPr>
      </w:pPr>
    </w:p>
    <w:p w14:paraId="4608FA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5B1B9BFC">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3D82B9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7115CB56">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0A287B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4FCBB6A9">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1D8960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16850D47">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6F879F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3B771DF1">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3162FC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rPr>
        <w:t xml:space="preserve">厦门银行股份有限公司 </w:t>
      </w:r>
    </w:p>
    <w:p w14:paraId="60F52C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646542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19E2C8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34A85E99">
      <w:pPr>
        <w:spacing w:line="360" w:lineRule="auto"/>
        <w:ind w:firstLine="480" w:firstLineChars="200"/>
        <w:rPr>
          <w:rFonts w:hint="eastAsia" w:ascii="宋体" w:hAnsi="宋体" w:eastAsia="宋体" w:cs="宋体"/>
          <w:color w:val="auto"/>
          <w:sz w:val="24"/>
          <w:szCs w:val="24"/>
          <w:highlight w:val="none"/>
        </w:rPr>
      </w:pPr>
    </w:p>
    <w:p w14:paraId="02FAAC94">
      <w:pPr>
        <w:spacing w:line="360" w:lineRule="auto"/>
        <w:ind w:firstLine="480" w:firstLineChars="200"/>
        <w:rPr>
          <w:rFonts w:hint="eastAsia" w:ascii="宋体" w:hAnsi="宋体" w:eastAsia="宋体" w:cs="宋体"/>
          <w:color w:val="auto"/>
          <w:sz w:val="24"/>
          <w:szCs w:val="24"/>
          <w:highlight w:val="none"/>
        </w:rPr>
      </w:pPr>
    </w:p>
    <w:p w14:paraId="259A2AC0">
      <w:pPr>
        <w:spacing w:line="360" w:lineRule="auto"/>
        <w:ind w:firstLine="480" w:firstLineChars="200"/>
        <w:rPr>
          <w:rFonts w:hint="eastAsia" w:ascii="宋体" w:hAnsi="宋体" w:eastAsia="宋体" w:cs="宋体"/>
          <w:color w:val="auto"/>
          <w:sz w:val="24"/>
          <w:szCs w:val="24"/>
          <w:highlight w:val="none"/>
        </w:rPr>
      </w:pPr>
    </w:p>
    <w:p w14:paraId="0DC98AB6">
      <w:pPr>
        <w:spacing w:line="360" w:lineRule="auto"/>
        <w:ind w:firstLine="480" w:firstLineChars="200"/>
        <w:rPr>
          <w:rFonts w:hint="eastAsia" w:ascii="宋体" w:hAnsi="宋体" w:eastAsia="宋体" w:cs="宋体"/>
          <w:color w:val="auto"/>
          <w:sz w:val="24"/>
          <w:szCs w:val="24"/>
          <w:highlight w:val="none"/>
        </w:rPr>
      </w:pPr>
    </w:p>
    <w:p w14:paraId="51DD88D7">
      <w:pPr>
        <w:spacing w:line="360" w:lineRule="auto"/>
        <w:ind w:firstLine="0" w:firstLineChars="0"/>
        <w:rPr>
          <w:rFonts w:hint="eastAsia" w:ascii="宋体" w:hAnsi="宋体" w:eastAsia="宋体" w:cs="宋体"/>
          <w:color w:val="auto"/>
          <w:sz w:val="24"/>
          <w:szCs w:val="24"/>
          <w:highlight w:val="none"/>
        </w:rPr>
      </w:pPr>
    </w:p>
    <w:p w14:paraId="74BC14FC">
      <w:pPr>
        <w:pStyle w:val="7"/>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 xml:space="preserve">  目   录</w:t>
      </w:r>
    </w:p>
    <w:p w14:paraId="61E6B46A">
      <w:pPr>
        <w:pStyle w:val="3"/>
        <w:snapToGrid w:val="0"/>
        <w:spacing w:line="360" w:lineRule="auto"/>
        <w:ind w:firstLine="0"/>
        <w:rPr>
          <w:rFonts w:hint="eastAsia" w:ascii="宋体" w:hAnsi="宋体" w:eastAsia="宋体" w:cs="宋体"/>
          <w:color w:val="auto"/>
          <w:sz w:val="24"/>
          <w:szCs w:val="24"/>
          <w:highlight w:val="none"/>
        </w:rPr>
      </w:pPr>
    </w:p>
    <w:p w14:paraId="6BA04B5B">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268882B4">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60881EFA">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0730B771">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268412A0">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63B48D3C">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50AD05F3">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34241A59">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0B7406A7">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6758D89F">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6818A975">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7AB1FFF6">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2F760557">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…………………4-1</w:t>
      </w:r>
    </w:p>
    <w:p w14:paraId="234B0DF9">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6C0FD427">
      <w:pPr>
        <w:pStyle w:val="3"/>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425" w:num="1"/>
          <w:docGrid w:type="lines" w:linePitch="312" w:charSpace="0"/>
        </w:sectPr>
      </w:pPr>
    </w:p>
    <w:p w14:paraId="50A5C8F9">
      <w:pPr>
        <w:pStyle w:val="39"/>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799947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厦门万翔招标有</w:t>
      </w:r>
      <w:r>
        <w:rPr>
          <w:rFonts w:hint="eastAsia" w:ascii="宋体" w:hAnsi="宋体" w:eastAsia="宋体" w:cs="宋体"/>
          <w:b/>
          <w:color w:val="auto"/>
          <w:sz w:val="24"/>
          <w:szCs w:val="24"/>
          <w:highlight w:val="none"/>
          <w:u w:val="single"/>
        </w:rPr>
        <w:t>限公司</w:t>
      </w:r>
      <w:r>
        <w:rPr>
          <w:rFonts w:hint="eastAsia" w:ascii="宋体" w:hAnsi="宋体" w:eastAsia="宋体" w:cs="宋体"/>
          <w:color w:val="auto"/>
          <w:sz w:val="24"/>
          <w:szCs w:val="24"/>
          <w:highlight w:val="none"/>
        </w:rPr>
        <w:t>对【</w:t>
      </w:r>
      <w:r>
        <w:rPr>
          <w:rFonts w:hint="eastAsia" w:ascii="宋体" w:hAnsi="宋体" w:cs="宋体"/>
          <w:b/>
          <w:bCs/>
          <w:color w:val="auto"/>
          <w:sz w:val="24"/>
          <w:szCs w:val="24"/>
          <w:highlight w:val="none"/>
          <w:lang w:val="en-US" w:eastAsia="zh-CN"/>
        </w:rPr>
        <w:t>思明校区高中部日新楼宿舍家具部分更新采购项目</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货物（或服务）进行</w:t>
      </w:r>
      <w:r>
        <w:rPr>
          <w:rFonts w:hint="eastAsia" w:ascii="宋体" w:hAnsi="宋体" w:eastAsia="宋体" w:cs="宋体"/>
          <w:b/>
          <w:bCs/>
          <w:color w:val="auto"/>
          <w:sz w:val="24"/>
          <w:szCs w:val="24"/>
          <w:highlight w:val="none"/>
          <w:u w:val="single"/>
        </w:rPr>
        <w:t>国</w:t>
      </w:r>
      <w:r>
        <w:rPr>
          <w:rFonts w:hint="eastAsia" w:ascii="宋体" w:hAnsi="宋体" w:eastAsia="宋体" w:cs="宋体"/>
          <w:b/>
          <w:bCs/>
          <w:color w:val="auto"/>
          <w:sz w:val="24"/>
          <w:szCs w:val="24"/>
          <w:highlight w:val="none"/>
          <w:u w:val="single"/>
        </w:rPr>
        <w:t>内公开招标</w:t>
      </w:r>
      <w:r>
        <w:rPr>
          <w:rFonts w:hint="eastAsia" w:ascii="宋体" w:hAnsi="宋体" w:eastAsia="宋体" w:cs="宋体"/>
          <w:color w:val="auto"/>
          <w:sz w:val="24"/>
          <w:szCs w:val="24"/>
          <w:highlight w:val="none"/>
        </w:rPr>
        <w:t>，现欢迎国内合格的投标人前来投标。</w:t>
      </w:r>
    </w:p>
    <w:p w14:paraId="4F572FD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w:t>
      </w:r>
      <w:r>
        <w:rPr>
          <w:rFonts w:hint="eastAsia" w:ascii="宋体" w:hAnsi="宋体" w:eastAsia="宋体" w:cs="宋体"/>
          <w:color w:val="auto"/>
          <w:sz w:val="24"/>
          <w:szCs w:val="24"/>
          <w:highlight w:val="none"/>
        </w:rPr>
        <w:t>号：</w:t>
      </w:r>
      <w:r>
        <w:rPr>
          <w:rFonts w:hint="eastAsia" w:ascii="宋体" w:hAnsi="宋体" w:cs="宋体"/>
          <w:color w:val="auto"/>
          <w:sz w:val="24"/>
          <w:szCs w:val="24"/>
          <w:highlight w:val="none"/>
          <w:u w:val="single"/>
          <w:lang w:eastAsia="zh-CN"/>
        </w:rPr>
        <w:t>XM2026-DZ0015</w:t>
      </w:r>
      <w:r>
        <w:rPr>
          <w:rFonts w:hint="eastAsia" w:ascii="宋体" w:hAnsi="宋体" w:eastAsia="宋体" w:cs="宋体"/>
          <w:color w:val="auto"/>
          <w:sz w:val="24"/>
          <w:szCs w:val="24"/>
          <w:highlight w:val="none"/>
          <w:u w:val="single"/>
        </w:rPr>
        <w:t>。</w:t>
      </w:r>
    </w:p>
    <w:p w14:paraId="546FAA51">
      <w:pPr>
        <w:spacing w:line="360" w:lineRule="auto"/>
        <w:ind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0"/>
          <w:sz w:val="24"/>
          <w:szCs w:val="24"/>
          <w:highlight w:val="none"/>
        </w:rPr>
        <w:t>服务）</w:t>
      </w:r>
      <w:r>
        <w:rPr>
          <w:rFonts w:hint="eastAsia" w:ascii="宋体" w:hAnsi="宋体" w:eastAsia="宋体" w:cs="宋体"/>
          <w:color w:val="auto"/>
          <w:sz w:val="24"/>
          <w:szCs w:val="24"/>
          <w:highlight w:val="none"/>
        </w:rPr>
        <w:t>一览表。</w:t>
      </w:r>
    </w:p>
    <w:p w14:paraId="08A6AAD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val="en-US" w:eastAsia="zh-CN"/>
        </w:rPr>
        <w:t>2026年4月28日</w:t>
      </w:r>
      <w:r>
        <w:rPr>
          <w:rFonts w:hint="eastAsia" w:ascii="宋体" w:hAnsi="宋体" w:eastAsia="宋体" w:cs="宋体"/>
          <w:color w:val="auto"/>
          <w:sz w:val="24"/>
          <w:szCs w:val="24"/>
          <w:highlight w:val="none"/>
        </w:rPr>
        <w:t>至</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日，有意向的供应商应在厦门招投标网（http:// www.xmztb.com，下同）注册账号，登录后可免费在线浏览招标文件，完成缴费并下载招标文件后方具备投标资格。缴费仅支持在线扫码支付。</w:t>
      </w:r>
    </w:p>
    <w:p w14:paraId="5F3323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12734F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7D3AC6B2">
      <w:pPr>
        <w:pStyle w:val="7"/>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4、招标文件售价：每个合同包</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元人民币，售后不退。</w:t>
      </w:r>
    </w:p>
    <w:p w14:paraId="57E78A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color w:val="auto"/>
          <w:sz w:val="24"/>
          <w:szCs w:val="24"/>
          <w:highlight w:val="none"/>
          <w:lang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下午13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0（北京时间）之前登录厦门招投标网上传投标文件。已上传但未提示上传成功的投标无效。</w:t>
      </w:r>
    </w:p>
    <w:p w14:paraId="18B4CE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w:t>
      </w:r>
      <w:r>
        <w:rPr>
          <w:rFonts w:hint="eastAsia" w:ascii="宋体" w:hAnsi="宋体" w:eastAsia="宋体" w:cs="宋体"/>
          <w:color w:val="auto"/>
          <w:sz w:val="24"/>
          <w:szCs w:val="24"/>
          <w:highlight w:val="none"/>
          <w:lang w:val="en-US" w:eastAsia="zh-CN"/>
        </w:rPr>
        <w:t>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19032AB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9"/>
          <w:rFonts w:ascii="Helvetica" w:hAnsi="Helvetica" w:eastAsia="Helvetica" w:cs="Helvetica"/>
          <w:b w:val="0"/>
          <w:bCs w:val="0"/>
          <w:color w:val="auto"/>
          <w:sz w:val="24"/>
          <w:szCs w:val="24"/>
          <w:highlight w:val="none"/>
          <w:shd w:val="clear" w:color="auto" w:fill="FFFFFF"/>
        </w:rPr>
        <w:t>数字证书办理</w:t>
      </w:r>
      <w:r>
        <w:rPr>
          <w:rStyle w:val="19"/>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7FC336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6、开标时间: 2026年5月19日下午13：30（北京时</w:t>
      </w:r>
      <w:r>
        <w:rPr>
          <w:rFonts w:hint="eastAsia" w:ascii="宋体" w:hAnsi="宋体" w:eastAsia="宋体" w:cs="宋体"/>
          <w:color w:val="auto"/>
          <w:sz w:val="24"/>
          <w:szCs w:val="24"/>
          <w:highlight w:val="none"/>
        </w:rPr>
        <w:t>间）于厦门招投标网进行公开开标。</w:t>
      </w:r>
      <w:r>
        <w:rPr>
          <w:rFonts w:hint="eastAsia" w:ascii="宋体" w:hAnsi="宋体" w:cs="宋体"/>
          <w:b/>
          <w:color w:val="auto"/>
          <w:sz w:val="24"/>
          <w:szCs w:val="24"/>
          <w:highlight w:val="none"/>
          <w:u w:val="single"/>
        </w:rPr>
        <w:t>厦门市湖里区云顶北路842号厦门</w:t>
      </w:r>
      <w:r>
        <w:rPr>
          <w:rFonts w:hint="eastAsia" w:ascii="宋体" w:hAnsi="宋体" w:cs="宋体"/>
          <w:b/>
          <w:color w:val="auto"/>
          <w:sz w:val="24"/>
          <w:szCs w:val="24"/>
          <w:highlight w:val="none"/>
          <w:u w:val="single"/>
          <w:lang w:val="en-US" w:eastAsia="zh-CN"/>
        </w:rPr>
        <w:t>市政务</w:t>
      </w:r>
      <w:r>
        <w:rPr>
          <w:rFonts w:hint="eastAsia" w:ascii="宋体" w:hAnsi="宋体" w:cs="宋体"/>
          <w:b/>
          <w:color w:val="auto"/>
          <w:sz w:val="24"/>
          <w:szCs w:val="24"/>
          <w:highlight w:val="none"/>
          <w:u w:val="single"/>
        </w:rPr>
        <w:t>服务中心4楼</w:t>
      </w:r>
      <w:r>
        <w:rPr>
          <w:rFonts w:hint="eastAsia" w:ascii="宋体" w:hAnsi="宋体" w:cs="宋体"/>
          <w:b/>
          <w:color w:val="auto"/>
          <w:sz w:val="24"/>
          <w:szCs w:val="24"/>
          <w:highlight w:val="none"/>
          <w:u w:val="single"/>
          <w:lang w:val="en-US" w:eastAsia="zh-CN"/>
        </w:rPr>
        <w:t>C</w:t>
      </w:r>
      <w:r>
        <w:rPr>
          <w:rFonts w:hint="eastAsia" w:ascii="宋体" w:hAnsi="宋体" w:cs="宋体"/>
          <w:b/>
          <w:color w:val="auto"/>
          <w:sz w:val="24"/>
          <w:szCs w:val="24"/>
          <w:highlight w:val="none"/>
          <w:u w:val="single"/>
        </w:rPr>
        <w:t>区开标室（</w:t>
      </w:r>
      <w:r>
        <w:rPr>
          <w:rFonts w:hint="eastAsia" w:ascii="宋体" w:hAnsi="宋体" w:cs="宋体"/>
          <w:b/>
          <w:color w:val="auto"/>
          <w:sz w:val="24"/>
          <w:szCs w:val="24"/>
          <w:highlight w:val="none"/>
          <w:u w:val="single"/>
          <w:lang w:val="en-US" w:eastAsia="zh-CN"/>
        </w:rPr>
        <w:t>3</w:t>
      </w:r>
      <w:r>
        <w:rPr>
          <w:rFonts w:hint="eastAsia" w:ascii="宋体" w:hAnsi="宋体" w:cs="宋体"/>
          <w:b/>
          <w:color w:val="auto"/>
          <w:sz w:val="24"/>
          <w:szCs w:val="24"/>
          <w:highlight w:val="none"/>
          <w:u w:val="single"/>
        </w:rPr>
        <w:t>）</w:t>
      </w:r>
      <w:r>
        <w:rPr>
          <w:rFonts w:hint="eastAsia" w:ascii="宋体" w:hAnsi="宋体" w:cs="宋体"/>
          <w:b/>
          <w:color w:val="auto"/>
          <w:sz w:val="24"/>
          <w:szCs w:val="24"/>
          <w:highlight w:val="none"/>
          <w:u w:val="single"/>
          <w:lang w:eastAsia="zh-CN"/>
        </w:rPr>
        <w:t>。</w:t>
      </w:r>
      <w:r>
        <w:rPr>
          <w:rFonts w:hint="eastAsia" w:ascii="宋体" w:hAnsi="宋体" w:eastAsia="宋体" w:cs="宋体"/>
          <w:color w:val="auto"/>
          <w:sz w:val="24"/>
          <w:szCs w:val="24"/>
          <w:highlight w:val="none"/>
        </w:rPr>
        <w:t>投标人可登陆厦门招投标网查看开标全过程。</w:t>
      </w:r>
    </w:p>
    <w:p w14:paraId="40EBD2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w:t>
      </w:r>
      <w:r>
        <w:rPr>
          <w:rFonts w:hint="eastAsia" w:ascii="宋体" w:hAnsi="宋体" w:eastAsia="宋体" w:cs="宋体"/>
          <w:color w:val="auto"/>
          <w:sz w:val="24"/>
          <w:szCs w:val="24"/>
          <w:highlight w:val="none"/>
        </w:rPr>
        <w:t>（不接受）</w:t>
      </w:r>
      <w:r>
        <w:rPr>
          <w:rFonts w:hint="eastAsia" w:ascii="宋体" w:hAnsi="宋体" w:eastAsia="宋体" w:cs="宋体"/>
          <w:color w:val="auto"/>
          <w:sz w:val="24"/>
          <w:szCs w:val="24"/>
          <w:highlight w:val="none"/>
        </w:rPr>
        <w:t>联合体投标。</w:t>
      </w:r>
    </w:p>
    <w:p w14:paraId="0B31970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3DA75A36">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09EBD2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0D85245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9"/>
          <w:rFonts w:ascii="Helvetica" w:hAnsi="Helvetica" w:eastAsia="Helvetica" w:cs="Helvetica"/>
          <w:color w:val="auto"/>
          <w:sz w:val="24"/>
          <w:szCs w:val="24"/>
          <w:highlight w:val="none"/>
          <w:shd w:val="clear" w:color="auto" w:fill="FFFFFF"/>
        </w:rPr>
        <w:t>需办理数字证书</w:t>
      </w:r>
      <w:r>
        <w:rPr>
          <w:rStyle w:val="19"/>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056C9F1C">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10、投标人对本次招标活动事项提出疑问的，请在投标截止时间十五日之前，登录厦门招投标网与招标代理机构联系。来函请加盖单位公章，并提供联系人、联系电话及传真号码。</w:t>
      </w:r>
    </w:p>
    <w:p w14:paraId="67981C8A">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11、各有关联系方式</w:t>
      </w:r>
    </w:p>
    <w:tbl>
      <w:tblPr>
        <w:tblStyle w:val="16"/>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078F25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0D5D9D8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21A31B0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097" w:type="dxa"/>
            <w:noWrap w:val="0"/>
            <w:vAlign w:val="center"/>
          </w:tcPr>
          <w:p w14:paraId="7EF13A7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190" w:type="dxa"/>
            <w:noWrap w:val="0"/>
            <w:vAlign w:val="center"/>
          </w:tcPr>
          <w:p w14:paraId="704F444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3276" w:type="dxa"/>
            <w:noWrap w:val="0"/>
            <w:vAlign w:val="center"/>
          </w:tcPr>
          <w:p w14:paraId="4753D4D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05B5A7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04C6714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761D22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097" w:type="dxa"/>
            <w:noWrap w:val="0"/>
            <w:vAlign w:val="center"/>
          </w:tcPr>
          <w:p w14:paraId="46C7855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傅先生</w:t>
            </w:r>
          </w:p>
          <w:p w14:paraId="185F0A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黄小姐</w:t>
            </w:r>
          </w:p>
        </w:tc>
        <w:tc>
          <w:tcPr>
            <w:tcW w:w="3190" w:type="dxa"/>
            <w:noWrap w:val="0"/>
            <w:vAlign w:val="center"/>
          </w:tcPr>
          <w:p w14:paraId="7E17B065">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3276" w:type="dxa"/>
            <w:noWrap w:val="0"/>
            <w:vAlign w:val="center"/>
          </w:tcPr>
          <w:p w14:paraId="0E5DDCE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0592-2298136、5721295</w:t>
            </w:r>
          </w:p>
          <w:p w14:paraId="6239655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3F1FF0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340CD83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54C498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097" w:type="dxa"/>
            <w:noWrap w:val="0"/>
            <w:vAlign w:val="center"/>
          </w:tcPr>
          <w:p w14:paraId="77AE08D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190" w:type="dxa"/>
            <w:noWrap w:val="0"/>
            <w:vAlign w:val="center"/>
          </w:tcPr>
          <w:p w14:paraId="1E931B0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3276" w:type="dxa"/>
            <w:noWrap w:val="0"/>
            <w:vAlign w:val="center"/>
          </w:tcPr>
          <w:p w14:paraId="138425B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306353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51AAC2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7562895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097" w:type="dxa"/>
            <w:noWrap w:val="0"/>
            <w:vAlign w:val="center"/>
          </w:tcPr>
          <w:p w14:paraId="6AEB57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190" w:type="dxa"/>
            <w:noWrap w:val="0"/>
            <w:vAlign w:val="center"/>
          </w:tcPr>
          <w:p w14:paraId="5009E69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3276" w:type="dxa"/>
            <w:noWrap w:val="0"/>
            <w:vAlign w:val="center"/>
          </w:tcPr>
          <w:p w14:paraId="5D3551D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1686BB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DE9EB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7233C8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097" w:type="dxa"/>
            <w:noWrap w:val="0"/>
            <w:vAlign w:val="center"/>
          </w:tcPr>
          <w:p w14:paraId="03AC58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190" w:type="dxa"/>
            <w:noWrap w:val="0"/>
            <w:vAlign w:val="center"/>
          </w:tcPr>
          <w:p w14:paraId="4928053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3276" w:type="dxa"/>
            <w:noWrap w:val="0"/>
            <w:vAlign w:val="center"/>
          </w:tcPr>
          <w:p w14:paraId="5C66438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1AA72A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56117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5A3FD2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097" w:type="dxa"/>
            <w:noWrap w:val="0"/>
            <w:vAlign w:val="center"/>
          </w:tcPr>
          <w:p w14:paraId="0227EA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190" w:type="dxa"/>
            <w:noWrap w:val="0"/>
            <w:vAlign w:val="center"/>
          </w:tcPr>
          <w:p w14:paraId="25A0B7B1">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3276" w:type="dxa"/>
            <w:noWrap w:val="0"/>
            <w:vAlign w:val="center"/>
          </w:tcPr>
          <w:p w14:paraId="1F0170D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6B99CCE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1CCE94E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794A69DF">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1D3BBA55">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6"/>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381324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05291D5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564CA12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74BA310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7CB714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74B3F0C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5C930616">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w:t>
            </w:r>
          </w:p>
        </w:tc>
        <w:tc>
          <w:tcPr>
            <w:tcW w:w="4602" w:type="dxa"/>
            <w:noWrap w:val="0"/>
            <w:vAlign w:val="center"/>
          </w:tcPr>
          <w:p w14:paraId="61BE492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4D4FD8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0192072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06062D94">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w:t>
            </w:r>
          </w:p>
        </w:tc>
        <w:tc>
          <w:tcPr>
            <w:tcW w:w="4602" w:type="dxa"/>
            <w:noWrap w:val="0"/>
            <w:vAlign w:val="center"/>
          </w:tcPr>
          <w:p w14:paraId="006558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6A5018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71E59F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5C9C66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34D650B5">
      <w:pPr>
        <w:tabs>
          <w:tab w:val="left" w:pos="1140"/>
        </w:tabs>
        <w:spacing w:line="360" w:lineRule="auto"/>
        <w:ind w:firstLine="480" w:firstLineChars="200"/>
        <w:rPr>
          <w:rFonts w:hint="eastAsia" w:ascii="宋体" w:hAnsi="宋体" w:eastAsia="宋体" w:cs="宋体"/>
          <w:color w:val="auto"/>
          <w:sz w:val="24"/>
          <w:szCs w:val="24"/>
          <w:highlight w:val="none"/>
        </w:rPr>
      </w:pPr>
    </w:p>
    <w:p w14:paraId="70A5A8B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25B45865">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13、注意事项：</w:t>
      </w:r>
    </w:p>
    <w:p w14:paraId="61454223">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413092E7">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566741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招标代理机构：厦门万翔</w:t>
      </w:r>
      <w:r>
        <w:rPr>
          <w:rFonts w:hint="eastAsia" w:ascii="宋体" w:hAnsi="宋体" w:eastAsia="宋体" w:cs="宋体"/>
          <w:color w:val="auto"/>
          <w:sz w:val="24"/>
          <w:szCs w:val="24"/>
          <w:highlight w:val="none"/>
        </w:rPr>
        <w:t xml:space="preserve">招标有限公司 </w:t>
      </w:r>
    </w:p>
    <w:p w14:paraId="387C5188">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4F43F13F">
      <w:pPr>
        <w:tabs>
          <w:tab w:val="left" w:pos="2775"/>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3C3999DE">
      <w:pPr>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合同款项事宜联系人：</w:t>
      </w:r>
      <w:r>
        <w:rPr>
          <w:rFonts w:hint="eastAsia" w:ascii="宋体" w:hAnsi="宋体" w:cs="宋体"/>
          <w:color w:val="auto"/>
          <w:kern w:val="0"/>
          <w:sz w:val="24"/>
          <w:szCs w:val="24"/>
          <w:highlight w:val="none"/>
          <w:lang w:val="en-US" w:eastAsia="zh-CN"/>
        </w:rPr>
        <w:t>陈先生</w:t>
      </w:r>
      <w:r>
        <w:rPr>
          <w:rFonts w:hint="eastAsia" w:ascii="宋体" w:hAnsi="宋体" w:cs="宋体"/>
          <w:color w:val="auto"/>
          <w:kern w:val="0"/>
          <w:sz w:val="24"/>
          <w:highlight w:val="none"/>
        </w:rPr>
        <w:t>0592-</w:t>
      </w:r>
      <w:r>
        <w:rPr>
          <w:rFonts w:ascii="宋体" w:hAnsi="宋体" w:eastAsia="宋体" w:cs="宋体"/>
          <w:color w:val="auto"/>
          <w:sz w:val="24"/>
          <w:szCs w:val="24"/>
          <w:highlight w:val="none"/>
        </w:rPr>
        <w:t>5706825</w:t>
      </w:r>
    </w:p>
    <w:p w14:paraId="49F4AC58">
      <w:pPr>
        <w:tabs>
          <w:tab w:val="left" w:pos="2775"/>
        </w:tabs>
        <w:spacing w:line="360" w:lineRule="auto"/>
        <w:ind w:firstLine="480"/>
        <w:rPr>
          <w:rFonts w:hint="eastAsia" w:ascii="宋体" w:hAnsi="宋体" w:eastAsia="宋体" w:cs="宋体"/>
          <w:color w:val="auto"/>
          <w:sz w:val="24"/>
          <w:szCs w:val="24"/>
          <w:highlight w:val="none"/>
        </w:rPr>
      </w:pPr>
    </w:p>
    <w:p w14:paraId="4AE06BF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94AF4">
      <w:pPr>
        <w:spacing w:line="360" w:lineRule="auto"/>
        <w:rPr>
          <w:rFonts w:hint="eastAsia" w:ascii="宋体" w:hAnsi="宋体" w:eastAsia="宋体" w:cs="宋体"/>
          <w:color w:val="auto"/>
          <w:sz w:val="24"/>
          <w:szCs w:val="24"/>
          <w:highlight w:val="none"/>
        </w:rPr>
      </w:pPr>
    </w:p>
    <w:p w14:paraId="474F69AE">
      <w:pPr>
        <w:spacing w:line="360" w:lineRule="auto"/>
        <w:rPr>
          <w:rFonts w:hint="eastAsia" w:ascii="宋体" w:hAnsi="宋体" w:eastAsia="宋体" w:cs="宋体"/>
          <w:color w:val="auto"/>
          <w:sz w:val="24"/>
          <w:szCs w:val="24"/>
          <w:highlight w:val="none"/>
        </w:rPr>
      </w:pPr>
    </w:p>
    <w:p w14:paraId="13805D7C">
      <w:pPr>
        <w:spacing w:line="360" w:lineRule="auto"/>
        <w:rPr>
          <w:rFonts w:hint="eastAsia" w:ascii="宋体" w:hAnsi="宋体" w:eastAsia="宋体" w:cs="宋体"/>
          <w:color w:val="auto"/>
          <w:sz w:val="24"/>
          <w:szCs w:val="24"/>
          <w:highlight w:val="none"/>
        </w:rPr>
      </w:pPr>
    </w:p>
    <w:p w14:paraId="1C252151">
      <w:pPr>
        <w:spacing w:line="360" w:lineRule="auto"/>
        <w:rPr>
          <w:rFonts w:hint="eastAsia" w:ascii="宋体" w:hAnsi="宋体" w:eastAsia="宋体" w:cs="宋体"/>
          <w:color w:val="auto"/>
          <w:sz w:val="24"/>
          <w:szCs w:val="24"/>
          <w:highlight w:val="none"/>
        </w:rPr>
      </w:pPr>
    </w:p>
    <w:p w14:paraId="1FA74896">
      <w:pPr>
        <w:spacing w:line="360" w:lineRule="auto"/>
        <w:rPr>
          <w:rFonts w:hint="eastAsia" w:ascii="宋体" w:hAnsi="宋体" w:eastAsia="宋体" w:cs="宋体"/>
          <w:color w:val="auto"/>
          <w:sz w:val="24"/>
          <w:szCs w:val="24"/>
          <w:highlight w:val="none"/>
        </w:rPr>
      </w:pPr>
    </w:p>
    <w:p w14:paraId="4423B8B8">
      <w:pPr>
        <w:spacing w:line="360" w:lineRule="auto"/>
        <w:rPr>
          <w:rFonts w:hint="eastAsia" w:ascii="宋体" w:hAnsi="宋体" w:eastAsia="宋体" w:cs="宋体"/>
          <w:color w:val="auto"/>
          <w:sz w:val="24"/>
          <w:szCs w:val="24"/>
          <w:highlight w:val="none"/>
        </w:rPr>
      </w:pPr>
    </w:p>
    <w:p w14:paraId="53EA2309">
      <w:pPr>
        <w:spacing w:line="360" w:lineRule="auto"/>
        <w:rPr>
          <w:rFonts w:hint="eastAsia" w:ascii="宋体" w:hAnsi="宋体" w:eastAsia="宋体" w:cs="宋体"/>
          <w:color w:val="auto"/>
          <w:sz w:val="24"/>
          <w:szCs w:val="24"/>
          <w:highlight w:val="none"/>
        </w:rPr>
      </w:pPr>
    </w:p>
    <w:p w14:paraId="1F8443FD">
      <w:pPr>
        <w:spacing w:line="360" w:lineRule="auto"/>
        <w:rPr>
          <w:rFonts w:hint="eastAsia" w:ascii="宋体" w:hAnsi="宋体" w:eastAsia="宋体" w:cs="宋体"/>
          <w:color w:val="auto"/>
          <w:sz w:val="24"/>
          <w:szCs w:val="24"/>
          <w:highlight w:val="none"/>
        </w:rPr>
      </w:pPr>
    </w:p>
    <w:p w14:paraId="10B1AFBA">
      <w:pPr>
        <w:spacing w:line="360" w:lineRule="auto"/>
        <w:rPr>
          <w:rFonts w:hint="eastAsia" w:ascii="宋体" w:hAnsi="宋体" w:eastAsia="宋体" w:cs="宋体"/>
          <w:color w:val="auto"/>
          <w:sz w:val="24"/>
          <w:szCs w:val="24"/>
          <w:highlight w:val="none"/>
        </w:rPr>
      </w:pPr>
    </w:p>
    <w:p w14:paraId="6F98FEC8">
      <w:pPr>
        <w:spacing w:line="360" w:lineRule="auto"/>
        <w:rPr>
          <w:rFonts w:hint="eastAsia" w:ascii="宋体" w:hAnsi="宋体" w:eastAsia="宋体" w:cs="宋体"/>
          <w:color w:val="auto"/>
          <w:sz w:val="24"/>
          <w:szCs w:val="24"/>
          <w:highlight w:val="none"/>
        </w:rPr>
      </w:pPr>
    </w:p>
    <w:p w14:paraId="74373AAA">
      <w:pPr>
        <w:spacing w:line="360" w:lineRule="auto"/>
        <w:rPr>
          <w:rFonts w:hint="eastAsia" w:ascii="宋体" w:hAnsi="宋体" w:eastAsia="宋体" w:cs="宋体"/>
          <w:color w:val="auto"/>
          <w:sz w:val="24"/>
          <w:szCs w:val="24"/>
          <w:highlight w:val="none"/>
        </w:rPr>
      </w:pPr>
    </w:p>
    <w:p w14:paraId="7E1319B4">
      <w:pPr>
        <w:spacing w:line="360" w:lineRule="auto"/>
        <w:rPr>
          <w:rFonts w:hint="eastAsia" w:ascii="宋体" w:hAnsi="宋体" w:eastAsia="宋体" w:cs="宋体"/>
          <w:color w:val="auto"/>
          <w:sz w:val="24"/>
          <w:szCs w:val="24"/>
          <w:highlight w:val="none"/>
        </w:rPr>
      </w:pPr>
    </w:p>
    <w:p w14:paraId="154CB7F7">
      <w:pPr>
        <w:spacing w:line="360" w:lineRule="auto"/>
        <w:rPr>
          <w:rFonts w:hint="eastAsia" w:ascii="宋体" w:hAnsi="宋体" w:eastAsia="宋体" w:cs="宋体"/>
          <w:color w:val="auto"/>
          <w:sz w:val="24"/>
          <w:szCs w:val="24"/>
          <w:highlight w:val="none"/>
        </w:rPr>
      </w:pPr>
    </w:p>
    <w:p w14:paraId="62CAE1D0">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744D670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6"/>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2027"/>
      </w:tblGrid>
      <w:tr w14:paraId="4A2C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668E9469">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B7D0037">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2E81F124">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AA53FB3">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908D326">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15DA4E7">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4BC5C097">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73274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20B8C28B">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w:t>
            </w:r>
            <w:r>
              <w:rPr>
                <w:rFonts w:hint="eastAsia" w:ascii="宋体" w:hAnsi="宋体" w:eastAsia="宋体" w:cs="宋体"/>
                <w:b w:val="0"/>
                <w:bCs w:val="0"/>
                <w:color w:val="auto"/>
                <w:sz w:val="24"/>
                <w:szCs w:val="24"/>
                <w:highlight w:val="none"/>
                <w:lang w:eastAsia="zh-CN"/>
              </w:rPr>
              <w:t>2026</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u w:val="none"/>
              </w:rPr>
              <w:t>DZ</w:t>
            </w:r>
            <w:r>
              <w:rPr>
                <w:rFonts w:hint="eastAsia" w:ascii="宋体" w:hAnsi="宋体" w:eastAsia="宋体" w:cs="宋体"/>
                <w:b w:val="0"/>
                <w:bCs w:val="0"/>
                <w:color w:val="auto"/>
                <w:sz w:val="24"/>
                <w:szCs w:val="24"/>
                <w:highlight w:val="none"/>
                <w:u w:val="none"/>
                <w:lang w:val="en-US" w:eastAsia="zh-CN"/>
              </w:rPr>
              <w:t>0015</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04CBA5DA">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07F824F6">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思明校区高中部日新楼宿舍家具部分更新采购项目</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9B6E626">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8A71177">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B0DBBC2">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4866A350">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福建省厦门第一中学</w:t>
            </w:r>
          </w:p>
        </w:tc>
      </w:tr>
    </w:tbl>
    <w:p w14:paraId="7151AC84">
      <w:pPr>
        <w:spacing w:line="360" w:lineRule="auto"/>
        <w:jc w:val="both"/>
        <w:rPr>
          <w:rFonts w:hint="eastAsia" w:ascii="宋体" w:hAnsi="宋体" w:eastAsia="宋体" w:cs="宋体"/>
          <w:b/>
          <w:color w:val="auto"/>
          <w:sz w:val="32"/>
          <w:szCs w:val="32"/>
          <w:highlight w:val="none"/>
        </w:rPr>
      </w:pPr>
    </w:p>
    <w:p w14:paraId="0450E3E3">
      <w:pPr>
        <w:pStyle w:val="7"/>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362ECB57">
      <w:pPr>
        <w:pStyle w:val="7"/>
        <w:tabs>
          <w:tab w:val="left" w:pos="8360"/>
        </w:tabs>
        <w:spacing w:line="360" w:lineRule="auto"/>
        <w:jc w:val="left"/>
        <w:rPr>
          <w:rFonts w:hint="eastAsia" w:ascii="宋体" w:hAnsi="宋体" w:eastAsia="宋体" w:cs="宋体"/>
          <w:color w:val="auto"/>
          <w:sz w:val="24"/>
          <w:szCs w:val="24"/>
          <w:highlight w:val="none"/>
        </w:rPr>
      </w:pPr>
    </w:p>
    <w:p w14:paraId="5C5F2BC6">
      <w:pPr>
        <w:pStyle w:val="7"/>
        <w:tabs>
          <w:tab w:val="left" w:pos="8360"/>
        </w:tabs>
        <w:spacing w:line="360" w:lineRule="auto"/>
        <w:jc w:val="left"/>
        <w:rPr>
          <w:rFonts w:hint="eastAsia" w:ascii="宋体" w:hAnsi="宋体" w:eastAsia="宋体" w:cs="宋体"/>
          <w:color w:val="auto"/>
          <w:sz w:val="24"/>
          <w:szCs w:val="24"/>
          <w:highlight w:val="none"/>
        </w:rPr>
      </w:pPr>
    </w:p>
    <w:p w14:paraId="02D0A566">
      <w:pPr>
        <w:pStyle w:val="7"/>
        <w:tabs>
          <w:tab w:val="left" w:pos="8360"/>
        </w:tabs>
        <w:spacing w:line="360" w:lineRule="auto"/>
        <w:jc w:val="left"/>
        <w:rPr>
          <w:rFonts w:hint="eastAsia" w:ascii="宋体" w:hAnsi="宋体" w:eastAsia="宋体" w:cs="宋体"/>
          <w:color w:val="auto"/>
          <w:sz w:val="24"/>
          <w:szCs w:val="24"/>
          <w:highlight w:val="none"/>
        </w:rPr>
      </w:pPr>
    </w:p>
    <w:p w14:paraId="52DF8ECC">
      <w:pPr>
        <w:pStyle w:val="7"/>
        <w:tabs>
          <w:tab w:val="left" w:pos="8360"/>
        </w:tabs>
        <w:spacing w:line="360" w:lineRule="auto"/>
        <w:jc w:val="left"/>
        <w:rPr>
          <w:rFonts w:hint="eastAsia" w:ascii="宋体" w:hAnsi="宋体" w:eastAsia="宋体" w:cs="宋体"/>
          <w:color w:val="auto"/>
          <w:sz w:val="24"/>
          <w:szCs w:val="24"/>
          <w:highlight w:val="none"/>
        </w:rPr>
      </w:pPr>
    </w:p>
    <w:p w14:paraId="40C1CEE9">
      <w:pPr>
        <w:pStyle w:val="7"/>
        <w:tabs>
          <w:tab w:val="left" w:pos="8360"/>
        </w:tabs>
        <w:spacing w:line="360" w:lineRule="auto"/>
        <w:jc w:val="left"/>
        <w:rPr>
          <w:rFonts w:hint="eastAsia" w:ascii="宋体" w:hAnsi="宋体" w:eastAsia="宋体" w:cs="宋体"/>
          <w:color w:val="auto"/>
          <w:sz w:val="24"/>
          <w:szCs w:val="24"/>
          <w:highlight w:val="none"/>
        </w:rPr>
      </w:pPr>
    </w:p>
    <w:p w14:paraId="7CBC6C9F">
      <w:pPr>
        <w:pStyle w:val="7"/>
        <w:tabs>
          <w:tab w:val="left" w:pos="8360"/>
        </w:tabs>
        <w:spacing w:line="360" w:lineRule="auto"/>
        <w:jc w:val="left"/>
        <w:rPr>
          <w:rFonts w:hint="eastAsia" w:ascii="宋体" w:hAnsi="宋体" w:eastAsia="宋体" w:cs="宋体"/>
          <w:color w:val="auto"/>
          <w:sz w:val="24"/>
          <w:szCs w:val="24"/>
          <w:highlight w:val="none"/>
        </w:rPr>
      </w:pPr>
    </w:p>
    <w:p w14:paraId="13512B54">
      <w:pPr>
        <w:pStyle w:val="7"/>
        <w:tabs>
          <w:tab w:val="left" w:pos="8360"/>
        </w:tabs>
        <w:spacing w:line="360" w:lineRule="auto"/>
        <w:jc w:val="left"/>
        <w:rPr>
          <w:rFonts w:hint="eastAsia" w:ascii="宋体" w:hAnsi="宋体" w:eastAsia="宋体" w:cs="宋体"/>
          <w:color w:val="auto"/>
          <w:sz w:val="24"/>
          <w:szCs w:val="24"/>
          <w:highlight w:val="none"/>
        </w:rPr>
      </w:pPr>
    </w:p>
    <w:p w14:paraId="4239DE80">
      <w:pPr>
        <w:pStyle w:val="7"/>
        <w:tabs>
          <w:tab w:val="left" w:pos="8360"/>
        </w:tabs>
        <w:spacing w:line="360" w:lineRule="auto"/>
        <w:jc w:val="left"/>
        <w:rPr>
          <w:rFonts w:hint="eastAsia" w:ascii="宋体" w:hAnsi="宋体" w:eastAsia="宋体" w:cs="宋体"/>
          <w:color w:val="auto"/>
          <w:sz w:val="24"/>
          <w:szCs w:val="24"/>
          <w:highlight w:val="none"/>
        </w:rPr>
      </w:pPr>
    </w:p>
    <w:p w14:paraId="77A43E8C">
      <w:pPr>
        <w:pStyle w:val="7"/>
        <w:tabs>
          <w:tab w:val="left" w:pos="8360"/>
        </w:tabs>
        <w:spacing w:line="360" w:lineRule="auto"/>
        <w:jc w:val="left"/>
        <w:rPr>
          <w:rFonts w:hint="eastAsia" w:ascii="宋体" w:hAnsi="宋体" w:eastAsia="宋体" w:cs="宋体"/>
          <w:color w:val="auto"/>
          <w:sz w:val="24"/>
          <w:szCs w:val="24"/>
          <w:highlight w:val="none"/>
        </w:rPr>
      </w:pPr>
    </w:p>
    <w:p w14:paraId="22AE52D3">
      <w:pPr>
        <w:pStyle w:val="7"/>
        <w:tabs>
          <w:tab w:val="left" w:pos="8360"/>
        </w:tabs>
        <w:spacing w:line="360" w:lineRule="auto"/>
        <w:jc w:val="left"/>
        <w:rPr>
          <w:rFonts w:hint="eastAsia" w:ascii="宋体" w:hAnsi="宋体" w:eastAsia="宋体" w:cs="宋体"/>
          <w:color w:val="auto"/>
          <w:sz w:val="24"/>
          <w:szCs w:val="24"/>
          <w:highlight w:val="none"/>
        </w:rPr>
      </w:pPr>
    </w:p>
    <w:p w14:paraId="38B1410C">
      <w:pPr>
        <w:pStyle w:val="7"/>
        <w:tabs>
          <w:tab w:val="left" w:pos="8360"/>
        </w:tabs>
        <w:spacing w:line="360" w:lineRule="auto"/>
        <w:jc w:val="left"/>
        <w:rPr>
          <w:rFonts w:hint="eastAsia" w:ascii="宋体" w:hAnsi="宋体" w:eastAsia="宋体" w:cs="宋体"/>
          <w:color w:val="auto"/>
          <w:sz w:val="24"/>
          <w:szCs w:val="24"/>
          <w:highlight w:val="none"/>
        </w:rPr>
      </w:pPr>
    </w:p>
    <w:p w14:paraId="1AA70BE1">
      <w:pPr>
        <w:pStyle w:val="7"/>
        <w:tabs>
          <w:tab w:val="left" w:pos="8360"/>
        </w:tabs>
        <w:spacing w:line="360" w:lineRule="auto"/>
        <w:jc w:val="left"/>
        <w:rPr>
          <w:rFonts w:hint="eastAsia" w:ascii="宋体" w:hAnsi="宋体" w:eastAsia="宋体" w:cs="宋体"/>
          <w:color w:val="auto"/>
          <w:sz w:val="24"/>
          <w:szCs w:val="24"/>
          <w:highlight w:val="none"/>
        </w:rPr>
      </w:pPr>
    </w:p>
    <w:p w14:paraId="7FD58EED">
      <w:pPr>
        <w:pStyle w:val="7"/>
        <w:tabs>
          <w:tab w:val="left" w:pos="8360"/>
        </w:tabs>
        <w:spacing w:line="360" w:lineRule="auto"/>
        <w:jc w:val="left"/>
        <w:rPr>
          <w:rFonts w:hint="eastAsia" w:ascii="宋体" w:hAnsi="宋体" w:eastAsia="宋体" w:cs="宋体"/>
          <w:color w:val="auto"/>
          <w:sz w:val="24"/>
          <w:szCs w:val="24"/>
          <w:highlight w:val="none"/>
        </w:rPr>
      </w:pPr>
    </w:p>
    <w:p w14:paraId="5221246D">
      <w:pPr>
        <w:pStyle w:val="3"/>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5E5C122D">
      <w:pPr>
        <w:pStyle w:val="39"/>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6EC3F393">
      <w:pPr>
        <w:pStyle w:val="39"/>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4B3206F8">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6"/>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41AA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00AF125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35E3A02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6AF7975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3B77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0BA622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5DB90B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6DAA3ED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val="en-US" w:eastAsia="zh-CN"/>
              </w:rPr>
              <w:t>思明校区高中部日新楼宿舍家具部分更新采购项目</w:t>
            </w:r>
          </w:p>
          <w:p w14:paraId="7BE5605D">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5B29DF6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620702C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w:t>
            </w:r>
            <w:r>
              <w:rPr>
                <w:rFonts w:hint="eastAsia" w:ascii="宋体" w:hAnsi="宋体" w:cs="宋体"/>
                <w:color w:val="auto"/>
                <w:sz w:val="24"/>
                <w:szCs w:val="24"/>
                <w:highlight w:val="none"/>
                <w:lang w:val="en-US" w:eastAsia="zh-CN"/>
              </w:rPr>
              <w:t>思明校区高中部日新楼宿舍家具部分更新采购项目</w:t>
            </w:r>
            <w:r>
              <w:rPr>
                <w:rFonts w:hint="eastAsia" w:ascii="宋体" w:hAnsi="宋体" w:eastAsia="宋体" w:cs="宋体"/>
                <w:color w:val="auto"/>
                <w:sz w:val="24"/>
                <w:szCs w:val="24"/>
                <w:highlight w:val="none"/>
              </w:rPr>
              <w:t xml:space="preserve"> </w:t>
            </w:r>
          </w:p>
          <w:p w14:paraId="157152D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u w:val="single"/>
                <w:lang w:eastAsia="zh-CN"/>
              </w:rPr>
              <w:t>XM2026-DZ0015</w:t>
            </w:r>
          </w:p>
          <w:p w14:paraId="74FF28BD">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采购预算：</w:t>
            </w:r>
            <w:r>
              <w:rPr>
                <w:rFonts w:hint="eastAsia" w:ascii="宋体" w:hAnsi="宋体" w:cs="宋体"/>
                <w:color w:val="auto"/>
                <w:sz w:val="24"/>
                <w:szCs w:val="24"/>
                <w:highlight w:val="none"/>
                <w:u w:val="single"/>
              </w:rPr>
              <w:t>人民币</w:t>
            </w:r>
            <w:r>
              <w:rPr>
                <w:rFonts w:hint="default" w:ascii="宋体" w:hAnsi="宋体" w:cs="宋体"/>
                <w:color w:val="auto"/>
                <w:sz w:val="24"/>
                <w:szCs w:val="24"/>
                <w:highlight w:val="none"/>
                <w:u w:val="single"/>
                <w:lang w:eastAsia="zh-CN"/>
              </w:rPr>
              <w:t>200</w:t>
            </w:r>
            <w:r>
              <w:rPr>
                <w:rFonts w:hint="eastAsia" w:ascii="宋体" w:hAnsi="宋体" w:cs="宋体"/>
                <w:color w:val="auto"/>
                <w:sz w:val="24"/>
                <w:szCs w:val="24"/>
                <w:highlight w:val="none"/>
                <w:u w:val="single"/>
              </w:rPr>
              <w:t>万元整</w:t>
            </w:r>
          </w:p>
        </w:tc>
      </w:tr>
      <w:tr w14:paraId="537C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0BCCAF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35CA0C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494BB96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590669D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6469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5E097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50534C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3E7E224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017AA04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600F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14BD4E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5D075D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7E0A299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4A967FF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4BDBBE1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35F9379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441D32FC">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2163C719">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345B54B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4AF6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5736947">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2F091C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4114D9E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427EED3B">
            <w:pPr>
              <w:pStyle w:val="7"/>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07F5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3AB97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384923AD">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59238C7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675EF0AC">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6"/>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41DF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1FC1DA4">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3BB6E24F">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04D7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58B636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1421888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1065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C8492F1">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7ED42DD9">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6569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24B4F11">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3979802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23BF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A4F4996">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6367F70B">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5462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1850623">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1C6565B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68D8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1853FEC4">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245A102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78A5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141B29D9">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0F9CC0E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0BEDCA3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5FE1280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3263542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5955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E94F0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07B951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6F9AC72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w:t>
            </w:r>
            <w:r>
              <w:rPr>
                <w:rFonts w:hint="eastAsia" w:ascii="宋体" w:hAnsi="宋体" w:eastAsia="宋体" w:cs="宋体"/>
                <w:color w:val="auto"/>
                <w:sz w:val="24"/>
                <w:szCs w:val="24"/>
                <w:highlight w:val="none"/>
              </w:rPr>
              <w:t>厦门市财政局</w:t>
            </w:r>
            <w:r>
              <w:rPr>
                <w:rFonts w:hint="eastAsia" w:ascii="宋体" w:hAnsi="宋体" w:eastAsia="宋体" w:cs="宋体"/>
                <w:color w:val="auto"/>
                <w:sz w:val="24"/>
                <w:szCs w:val="24"/>
                <w:highlight w:val="none"/>
              </w:rPr>
              <w:t>。</w:t>
            </w:r>
          </w:p>
        </w:tc>
      </w:tr>
      <w:tr w14:paraId="08298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140B7E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0EB26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05AA00D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5E99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08B1F5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1EE67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00C885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533393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2A64F6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429185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2B9137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578184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72EB0E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32C578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13A089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2D1B2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61AAA6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c.不同投标人存在串通投标的其他情形。</w:t>
            </w:r>
          </w:p>
          <w:p w14:paraId="6D6A62B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bl>
    <w:p w14:paraId="43E3779F">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42D64D12">
      <w:pPr>
        <w:spacing w:line="360" w:lineRule="auto"/>
        <w:jc w:val="center"/>
        <w:rPr>
          <w:rFonts w:hint="eastAsia" w:ascii="宋体" w:hAnsi="宋体" w:eastAsia="宋体" w:cs="宋体"/>
          <w:b/>
          <w:bCs/>
          <w:color w:val="auto"/>
          <w:sz w:val="24"/>
          <w:szCs w:val="24"/>
          <w:highlight w:val="none"/>
          <w:u w:val="single"/>
        </w:rPr>
      </w:pPr>
    </w:p>
    <w:p w14:paraId="5FB77DBC">
      <w:pPr>
        <w:spacing w:line="360" w:lineRule="auto"/>
        <w:jc w:val="center"/>
        <w:rPr>
          <w:rFonts w:hint="eastAsia" w:ascii="宋体" w:hAnsi="宋体" w:eastAsia="宋体" w:cs="宋体"/>
          <w:b/>
          <w:bCs/>
          <w:color w:val="auto"/>
          <w:sz w:val="24"/>
          <w:szCs w:val="24"/>
          <w:highlight w:val="none"/>
          <w:u w:val="single"/>
        </w:rPr>
      </w:pPr>
    </w:p>
    <w:p w14:paraId="18C15AC8">
      <w:pPr>
        <w:spacing w:line="360" w:lineRule="auto"/>
        <w:jc w:val="center"/>
        <w:rPr>
          <w:rFonts w:hint="eastAsia" w:ascii="宋体" w:hAnsi="宋体" w:eastAsia="宋体" w:cs="宋体"/>
          <w:b/>
          <w:bCs/>
          <w:color w:val="auto"/>
          <w:sz w:val="24"/>
          <w:szCs w:val="24"/>
          <w:highlight w:val="none"/>
          <w:u w:val="single"/>
        </w:rPr>
      </w:pPr>
    </w:p>
    <w:p w14:paraId="3D84712D">
      <w:pPr>
        <w:spacing w:line="360" w:lineRule="auto"/>
        <w:jc w:val="center"/>
        <w:rPr>
          <w:rFonts w:hint="eastAsia" w:ascii="宋体" w:hAnsi="宋体" w:eastAsia="宋体" w:cs="宋体"/>
          <w:b/>
          <w:bCs/>
          <w:color w:val="auto"/>
          <w:sz w:val="24"/>
          <w:szCs w:val="24"/>
          <w:highlight w:val="none"/>
          <w:u w:val="single"/>
        </w:rPr>
      </w:pPr>
    </w:p>
    <w:p w14:paraId="62CD5A16">
      <w:pPr>
        <w:spacing w:line="360" w:lineRule="auto"/>
        <w:jc w:val="center"/>
        <w:rPr>
          <w:rFonts w:hint="eastAsia" w:ascii="宋体" w:hAnsi="宋体" w:eastAsia="宋体" w:cs="宋体"/>
          <w:b/>
          <w:bCs/>
          <w:color w:val="auto"/>
          <w:sz w:val="24"/>
          <w:szCs w:val="24"/>
          <w:highlight w:val="none"/>
          <w:u w:val="single"/>
        </w:rPr>
      </w:pPr>
    </w:p>
    <w:p w14:paraId="4D6A292F">
      <w:pPr>
        <w:spacing w:line="360" w:lineRule="auto"/>
        <w:jc w:val="center"/>
        <w:rPr>
          <w:rFonts w:hint="eastAsia" w:ascii="宋体" w:hAnsi="宋体" w:eastAsia="宋体" w:cs="宋体"/>
          <w:b/>
          <w:bCs/>
          <w:color w:val="auto"/>
          <w:sz w:val="24"/>
          <w:szCs w:val="24"/>
          <w:highlight w:val="none"/>
          <w:u w:val="single"/>
        </w:rPr>
      </w:pPr>
    </w:p>
    <w:p w14:paraId="1289EABA">
      <w:pPr>
        <w:spacing w:line="360" w:lineRule="auto"/>
        <w:jc w:val="center"/>
        <w:rPr>
          <w:rFonts w:hint="eastAsia" w:ascii="宋体" w:hAnsi="宋体" w:eastAsia="宋体" w:cs="宋体"/>
          <w:b/>
          <w:bCs/>
          <w:color w:val="auto"/>
          <w:sz w:val="32"/>
          <w:szCs w:val="32"/>
          <w:highlight w:val="none"/>
          <w:u w:val="single"/>
        </w:rPr>
      </w:pPr>
    </w:p>
    <w:p w14:paraId="527BE4D6">
      <w:pPr>
        <w:spacing w:line="360" w:lineRule="auto"/>
        <w:jc w:val="center"/>
        <w:rPr>
          <w:rFonts w:hint="eastAsia" w:ascii="宋体" w:hAnsi="宋体" w:eastAsia="宋体" w:cs="宋体"/>
          <w:b/>
          <w:bCs/>
          <w:color w:val="auto"/>
          <w:sz w:val="32"/>
          <w:szCs w:val="32"/>
          <w:highlight w:val="none"/>
          <w:u w:val="single"/>
        </w:rPr>
      </w:pPr>
    </w:p>
    <w:p w14:paraId="6852FF71">
      <w:pPr>
        <w:spacing w:line="360" w:lineRule="auto"/>
        <w:ind w:firstLine="1285" w:firstLineChars="400"/>
        <w:jc w:val="both"/>
        <w:rPr>
          <w:rFonts w:hint="eastAsia" w:ascii="宋体" w:hAnsi="宋体" w:eastAsia="宋体" w:cs="宋体"/>
          <w:b/>
          <w:bCs/>
          <w:color w:val="auto"/>
          <w:sz w:val="32"/>
          <w:szCs w:val="32"/>
          <w:highlight w:val="none"/>
          <w:u w:val="single"/>
        </w:rPr>
      </w:pPr>
    </w:p>
    <w:p w14:paraId="6D96F5E5">
      <w:pPr>
        <w:spacing w:line="360" w:lineRule="auto"/>
        <w:ind w:firstLine="1285" w:firstLineChars="400"/>
        <w:jc w:val="both"/>
        <w:rPr>
          <w:rFonts w:hint="eastAsia" w:ascii="宋体" w:hAnsi="宋体" w:eastAsia="宋体" w:cs="宋体"/>
          <w:b/>
          <w:bCs/>
          <w:color w:val="auto"/>
          <w:sz w:val="32"/>
          <w:szCs w:val="32"/>
          <w:highlight w:val="none"/>
          <w:u w:val="single"/>
        </w:rPr>
      </w:pPr>
    </w:p>
    <w:p w14:paraId="5B3872AA">
      <w:pPr>
        <w:spacing w:line="360" w:lineRule="auto"/>
        <w:ind w:firstLine="1285" w:firstLineChars="4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eastAsia="宋体" w:cs="宋体"/>
          <w:b/>
          <w:bCs/>
          <w:color w:val="auto"/>
          <w:sz w:val="32"/>
          <w:szCs w:val="32"/>
          <w:highlight w:val="none"/>
          <w:u w:val="single"/>
        </w:rPr>
        <w:t>资格性、符合性检查表</w:t>
      </w:r>
    </w:p>
    <w:p w14:paraId="0EB33E26">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6"/>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04F66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noWrap w:val="0"/>
            <w:vAlign w:val="top"/>
          </w:tcPr>
          <w:p w14:paraId="57F7956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1AA6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BD077F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16E0B92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696" w:type="dxa"/>
            <w:tcBorders>
              <w:bottom w:val="single" w:color="auto" w:sz="4" w:space="0"/>
            </w:tcBorders>
            <w:noWrap w:val="0"/>
            <w:vAlign w:val="center"/>
          </w:tcPr>
          <w:p w14:paraId="3E7D6B9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1422" w:type="dxa"/>
            <w:tcBorders>
              <w:bottom w:val="single" w:color="auto" w:sz="4" w:space="0"/>
            </w:tcBorders>
            <w:noWrap w:val="0"/>
            <w:vAlign w:val="center"/>
          </w:tcPr>
          <w:p w14:paraId="3139950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5925" w:type="dxa"/>
            <w:tcBorders>
              <w:bottom w:val="single" w:color="auto" w:sz="4" w:space="0"/>
            </w:tcBorders>
            <w:noWrap w:val="0"/>
            <w:vAlign w:val="center"/>
          </w:tcPr>
          <w:p w14:paraId="23400997">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335C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0E7D8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1B2BC6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98753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CB535E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2B503A2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0675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4016A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F2E6DD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D110A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2015D7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76C93D6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21FF5E7F">
            <w:pPr>
              <w:keepNext w:val="0"/>
              <w:keepLines w:val="0"/>
              <w:suppressLineNumbers w:val="0"/>
              <w:spacing w:before="0" w:beforeAutospacing="0" w:after="0" w:afterAutospacing="0" w:line="360" w:lineRule="auto"/>
              <w:ind w:left="0" w:right="0" w:firstLine="241" w:firstLineChars="100"/>
              <w:rPr>
                <w:rFonts w:hint="eastAsia" w:ascii="宋体" w:hAnsi="宋体" w:cs="宋体"/>
                <w:b/>
                <w:color w:val="auto"/>
                <w:sz w:val="24"/>
                <w:szCs w:val="24"/>
                <w:highlight w:val="none"/>
              </w:rPr>
            </w:pPr>
            <w:r>
              <w:rPr>
                <w:rFonts w:hint="eastAsia" w:ascii="宋体" w:hAnsi="宋体" w:cs="宋体"/>
                <w:b/>
                <w:color w:val="auto"/>
                <w:sz w:val="24"/>
                <w:szCs w:val="24"/>
                <w:highlight w:val="none"/>
              </w:rPr>
              <w:t>（1）</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人提供营业执照（副本）复印件（加盖公章）的复印件，提供组织机构代码证复印件。</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人已提供加载有统一社会信用代码营业执照的，视为已提供税务登记证和组织机构代码证。</w:t>
            </w:r>
          </w:p>
          <w:p w14:paraId="0B75EDB8">
            <w:pPr>
              <w:keepNext w:val="0"/>
              <w:keepLines w:val="0"/>
              <w:suppressLineNumbers w:val="0"/>
              <w:spacing w:before="0" w:beforeAutospacing="0" w:after="0" w:afterAutospacing="0" w:line="360" w:lineRule="auto"/>
              <w:ind w:left="0" w:right="0" w:firstLine="241" w:firstLineChars="1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（2）</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人全权代表若不是单位负责人，应提供</w:t>
            </w:r>
            <w:r>
              <w:rPr>
                <w:rFonts w:hint="eastAsia" w:ascii="宋体" w:hAnsi="宋体" w:cs="宋体"/>
                <w:b/>
                <w:color w:val="auto"/>
                <w:sz w:val="24"/>
                <w:szCs w:val="24"/>
                <w:highlight w:val="none"/>
                <w:lang w:val="en-US" w:eastAsia="zh-CN"/>
              </w:rPr>
              <w:t>投标单位</w:t>
            </w:r>
            <w:r>
              <w:rPr>
                <w:rFonts w:hint="eastAsia" w:ascii="宋体" w:hAnsi="宋体" w:cs="宋体"/>
                <w:b/>
                <w:color w:val="auto"/>
                <w:sz w:val="24"/>
                <w:szCs w:val="24"/>
                <w:highlight w:val="none"/>
              </w:rPr>
              <w:t>授权书原件，并提供被授权代表身份证复印件。</w:t>
            </w:r>
          </w:p>
          <w:p w14:paraId="2518FAFA">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w:t>
            </w:r>
            <w:r>
              <w:rPr>
                <w:rFonts w:hint="eastAsia" w:ascii="宋体"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val="en-US" w:eastAsia="zh-CN"/>
              </w:rPr>
              <w:t>按要求提供</w:t>
            </w:r>
            <w:r>
              <w:rPr>
                <w:rFonts w:hint="eastAsia" w:ascii="宋体" w:hAnsi="宋体" w:cs="宋体"/>
                <w:b/>
                <w:bCs/>
                <w:color w:val="auto"/>
                <w:sz w:val="24"/>
                <w:szCs w:val="24"/>
                <w:highlight w:val="none"/>
                <w:lang w:val="en-US" w:eastAsia="zh-CN"/>
              </w:rPr>
              <w:t>福建省</w:t>
            </w:r>
            <w:r>
              <w:rPr>
                <w:rFonts w:hint="eastAsia" w:ascii="宋体" w:hAnsi="宋体" w:cs="宋体"/>
                <w:b/>
                <w:bCs/>
                <w:color w:val="auto"/>
                <w:sz w:val="24"/>
                <w:szCs w:val="24"/>
                <w:highlight w:val="none"/>
              </w:rPr>
              <w:t>政府采购供应商资格承诺函</w:t>
            </w:r>
            <w:r>
              <w:rPr>
                <w:rFonts w:hint="eastAsia" w:ascii="宋体" w:hAnsi="宋体" w:eastAsia="宋体" w:cs="宋体"/>
                <w:b/>
                <w:bCs/>
                <w:color w:val="auto"/>
                <w:sz w:val="24"/>
                <w:szCs w:val="24"/>
                <w:highlight w:val="none"/>
                <w:lang w:eastAsia="zh-CN"/>
              </w:rPr>
              <w:t>。</w:t>
            </w:r>
          </w:p>
        </w:tc>
      </w:tr>
      <w:tr w14:paraId="5596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DDE6DD4">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A2A27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6D3E07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DAC654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64275A2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508D3AA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32E40F2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1C85E620">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09CA7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FEBDF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6B595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5C095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228692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61AE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6742B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F0B5F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6E4915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A38C5C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2CD07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DECF61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670E11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511452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4E3E65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4D11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D4555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A6769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B668B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89AA7DA">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8"/>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8"/>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78F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304E7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top"/>
          </w:tcPr>
          <w:p w14:paraId="4C77A1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top"/>
          </w:tcPr>
          <w:p w14:paraId="212B5B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top"/>
          </w:tcPr>
          <w:p w14:paraId="2F7256D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本项目专门面向中小企业采购，不再执行价格评审优惠的扶持政策，并提供中小企业声明函，所报所有采购标的均为中小微企业制造。本项目对应的中小企业划分标准所属工业行业。</w:t>
            </w:r>
          </w:p>
        </w:tc>
      </w:tr>
      <w:tr w14:paraId="3FFC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0"/>
            <w:vAlign w:val="center"/>
          </w:tcPr>
          <w:p w14:paraId="7F467730">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5BF09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0FCC6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0F220C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C9219A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37B9D7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1FE84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30F03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FF5A9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3AE76A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D9BABD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6115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9612A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A3496C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67D4E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1711DC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362F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3400C2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14727A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3BEAE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24FB87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3AC2DEF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774622D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6F34160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3922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26D0D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2F85D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04B3C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16AFCE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27EF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CE86E6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9097F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A8D057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EB3769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5501C65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419AABE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0B01141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12EC518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6015988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071E6F3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0BE006C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0B92743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059932D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62FBE76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477FE7A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47E2194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2147378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2142B58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w:t>
            </w:r>
            <w:r>
              <w:rPr>
                <w:rFonts w:hint="eastAsia" w:ascii="宋体" w:hAnsi="宋体" w:eastAsia="宋体" w:cs="宋体"/>
                <w:color w:val="auto"/>
                <w:sz w:val="24"/>
                <w:szCs w:val="24"/>
                <w:highlight w:val="none"/>
              </w:rPr>
              <w:t>利害关系的人</w:t>
            </w:r>
            <w:r>
              <w:rPr>
                <w:rFonts w:hint="eastAsia" w:ascii="宋体" w:hAnsi="宋体" w:eastAsia="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14:paraId="4516067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2C1BF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D2C3D0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FF82CA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62BDD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1BC0F9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2552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B25ED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97B5FC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4A3E6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6789EA6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0221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00A7D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5BD54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9BB5AA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2A7A919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79B5BBA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CDCBD0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DBC22F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9666A2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141A70D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7496E6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76BE024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8AD5A1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D9ECF9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7EFE620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1F49DAB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4D2A697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06D92F7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14:paraId="303C2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48AACA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64D0D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745F33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F610E7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5AE3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D18BE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B5BDB6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C530A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B63C24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5775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69FE7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4E560D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04C25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6E45C2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66549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E565B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CBD4D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CD7611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B8167D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7B568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4F8E3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98095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7F841E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DDF584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10EE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D4E78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FA2CDA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0E1451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4554FB9">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7851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C179F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AB16D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66A61D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D26428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717C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396BB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2E9640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952BEC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34D20C8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4CECC7A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53F35C2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38784E2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10E7581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2268A0F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5FF7B77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26A649D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011D05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5CEA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66CED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1A646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7FB3C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58E4A31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1DBC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136F9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F5407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DF303B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E2083B9">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2B04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0"/>
            <w:vAlign w:val="center"/>
          </w:tcPr>
          <w:p w14:paraId="146D343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14:paraId="6AF3F6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tcBorders>
            <w:noWrap w:val="0"/>
            <w:vAlign w:val="center"/>
          </w:tcPr>
          <w:p w14:paraId="05250B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5925" w:type="dxa"/>
            <w:tcBorders>
              <w:top w:val="single" w:color="auto" w:sz="4" w:space="0"/>
            </w:tcBorders>
            <w:noWrap w:val="0"/>
            <w:vAlign w:val="center"/>
          </w:tcPr>
          <w:p w14:paraId="719F7A1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0F4BF02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3601CD2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684FDE7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77F5CF2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3D172A6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5C4A1BB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31B6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B5F7E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14:paraId="77C32B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22248A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5925" w:type="dxa"/>
            <w:noWrap w:val="0"/>
            <w:vAlign w:val="center"/>
          </w:tcPr>
          <w:p w14:paraId="58E6CD43">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1BF9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4EAEA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14:paraId="7768F6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1B89321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5925" w:type="dxa"/>
            <w:noWrap w:val="0"/>
            <w:vAlign w:val="center"/>
          </w:tcPr>
          <w:p w14:paraId="59FE6F3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58234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39B5BF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696" w:type="dxa"/>
            <w:noWrap w:val="0"/>
            <w:vAlign w:val="center"/>
          </w:tcPr>
          <w:p w14:paraId="7E453E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1422" w:type="dxa"/>
            <w:noWrap w:val="0"/>
            <w:vAlign w:val="center"/>
          </w:tcPr>
          <w:p w14:paraId="647E066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5925" w:type="dxa"/>
            <w:noWrap w:val="0"/>
            <w:vAlign w:val="center"/>
          </w:tcPr>
          <w:p w14:paraId="385ACD9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w:t>
            </w:r>
            <w:r>
              <w:rPr>
                <w:rFonts w:hint="eastAsia" w:ascii="宋体" w:hAnsi="宋体" w:eastAsia="宋体" w:cs="宋体"/>
                <w:color w:val="auto"/>
                <w:sz w:val="24"/>
                <w:szCs w:val="24"/>
                <w:highlight w:val="none"/>
                <w:lang w:val="en-US" w:eastAsia="zh-CN"/>
              </w:rPr>
              <w:t>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459F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7838293">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14:paraId="7224B9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6F3D1B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0823FE07">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3B4464E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57383DC9">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64D9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30911D7">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14:paraId="200F57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65E112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4947E9D6">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26B3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4EA153D">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14:paraId="6A95C872">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1422" w:type="dxa"/>
            <w:noWrap w:val="0"/>
            <w:vAlign w:val="center"/>
          </w:tcPr>
          <w:p w14:paraId="2A61D3D7">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5254F99A">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6DC5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1DB63C1">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14:paraId="7975B978">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7ED25B0C">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415D660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5E5DF05A">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1B51C2B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5D8EA78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3EE3D306">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7587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908466A">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14:paraId="5E7F40CC">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7184447B">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4FA161A0">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5657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1BF7E5B">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14:paraId="6675F4B4">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48AFE251">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7BADFA6B">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3BAC1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A77442F">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14:paraId="02889F45">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2C528D2A">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3B9CB08D">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412C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4481C82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14:paraId="1B7361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48EB47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1F4F6234">
            <w:pPr>
              <w:pStyle w:val="39"/>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hAnsi="宋体" w:eastAsia="宋体" w:cs="宋体"/>
                <w:color w:val="auto"/>
                <w:highlight w:val="none"/>
                <w:lang w:val="en-US" w:eastAsia="zh-CN"/>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1FB3867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58D6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9036C5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14:paraId="6F402C0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2BA6E1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6122FA34">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rPr>
            </w:pPr>
            <w:r>
              <w:rPr>
                <w:rFonts w:hint="default" w:ascii="宋体" w:hAnsi="宋体" w:eastAsia="宋体" w:cs="宋体"/>
                <w:b/>
                <w:color w:val="auto"/>
                <w:sz w:val="24"/>
                <w:szCs w:val="24"/>
                <w:highlight w:val="none"/>
              </w:rPr>
              <w:t>★8.投标人在递交投标文件时应提供以下样品：按附件二的要求提供样品</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不接受3D打印或雕刻加工</w:t>
            </w:r>
            <w:r>
              <w:rPr>
                <w:rFonts w:hint="eastAsia" w:ascii="宋体" w:hAnsi="宋体" w:eastAsia="宋体" w:cs="宋体"/>
                <w:b/>
                <w:color w:val="auto"/>
                <w:sz w:val="24"/>
                <w:szCs w:val="24"/>
                <w:highlight w:val="none"/>
                <w:lang w:eastAsia="zh-CN"/>
              </w:rPr>
              <w:t>）</w:t>
            </w:r>
            <w:r>
              <w:rPr>
                <w:rFonts w:hint="default"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提供的样品不符合采购内容参数及结构图纸要求的或未提供样品或提供样品不齐全的，按无效投标处理。</w:t>
            </w:r>
            <w:r>
              <w:rPr>
                <w:rFonts w:hint="eastAsia" w:ascii="宋体" w:hAnsi="宋体" w:cs="宋体"/>
                <w:b/>
                <w:color w:val="auto"/>
                <w:sz w:val="24"/>
                <w:szCs w:val="24"/>
                <w:highlight w:val="none"/>
                <w:lang w:val="en-US" w:eastAsia="zh-CN"/>
              </w:rPr>
              <w:t xml:space="preserve"> </w:t>
            </w:r>
          </w:p>
        </w:tc>
      </w:tr>
      <w:tr w14:paraId="1894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6DCC017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14:paraId="6088E8E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470E8DA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6031EB03">
            <w:pPr>
              <w:pStyle w:val="46"/>
              <w:keepNext w:val="0"/>
              <w:keepLines w:val="0"/>
              <w:widowControl/>
              <w:suppressLineNumbers w:val="0"/>
              <w:spacing w:before="0" w:beforeAutospacing="0" w:after="0" w:afterAutospacing="0" w:line="360" w:lineRule="auto"/>
              <w:ind w:left="0" w:right="0" w:firstLine="470"/>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9.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w:t>
            </w:r>
            <w:r>
              <w:rPr>
                <w:rFonts w:hint="eastAsia" w:ascii="宋体" w:hAnsi="宋体" w:eastAsia="宋体" w:cs="宋体"/>
                <w:b/>
                <w:color w:val="auto"/>
                <w:sz w:val="24"/>
                <w:szCs w:val="24"/>
                <w:highlight w:val="none"/>
                <w:lang w:val="en-US" w:eastAsia="zh-CN"/>
              </w:rPr>
              <w:t>投标</w:t>
            </w:r>
            <w:r>
              <w:rPr>
                <w:rFonts w:ascii="宋体" w:hAnsi="宋体" w:eastAsia="宋体" w:cs="宋体"/>
                <w:b/>
                <w:color w:val="auto"/>
                <w:sz w:val="24"/>
                <w:szCs w:val="24"/>
                <w:highlight w:val="none"/>
              </w:rPr>
              <w:t>截止时间前，送至</w:t>
            </w:r>
            <w:r>
              <w:rPr>
                <w:rFonts w:ascii="宋体" w:hAnsi="宋体" w:eastAsia="宋体" w:cs="宋体"/>
                <w:b/>
                <w:color w:val="auto"/>
                <w:sz w:val="24"/>
                <w:szCs w:val="24"/>
                <w:highlight w:val="none"/>
                <w:u w:val="single"/>
              </w:rPr>
              <w:t>厦门市湖里区云顶北路842号厦门市政务服务中心负一楼样品间</w:t>
            </w:r>
            <w:r>
              <w:rPr>
                <w:rFonts w:ascii="宋体" w:hAnsi="宋体" w:eastAsia="宋体" w:cs="宋体"/>
                <w:b/>
                <w:color w:val="auto"/>
                <w:sz w:val="24"/>
                <w:szCs w:val="24"/>
                <w:highlight w:val="none"/>
              </w:rPr>
              <w:t>。</w:t>
            </w:r>
          </w:p>
          <w:p w14:paraId="12699528">
            <w:pPr>
              <w:pStyle w:val="46"/>
              <w:keepNext w:val="0"/>
              <w:keepLines w:val="0"/>
              <w:widowControl/>
              <w:suppressLineNumbers w:val="0"/>
              <w:spacing w:before="0" w:beforeAutospacing="0" w:after="0" w:afterAutospacing="0" w:line="360" w:lineRule="auto"/>
              <w:ind w:left="0" w:right="0" w:firstLine="470"/>
              <w:jc w:val="left"/>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1A601855">
            <w:pPr>
              <w:pStyle w:val="46"/>
              <w:keepNext w:val="0"/>
              <w:keepLines w:val="0"/>
              <w:widowControl/>
              <w:suppressLineNumbers w:val="0"/>
              <w:spacing w:before="0" w:beforeAutospacing="0" w:after="0" w:afterAutospacing="0" w:line="360" w:lineRule="auto"/>
              <w:ind w:left="0" w:right="0" w:firstLine="470"/>
              <w:jc w:val="left"/>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1.</w:t>
            </w:r>
            <w:r>
              <w:rPr>
                <w:rFonts w:ascii="宋体" w:hAnsi="宋体" w:eastAsia="宋体" w:cs="宋体"/>
                <w:b/>
                <w:color w:val="auto"/>
                <w:sz w:val="24"/>
                <w:szCs w:val="24"/>
                <w:highlight w:val="none"/>
              </w:rPr>
              <w:t>投标人提供的成品样需在投标截止时间前，在样品室摆放到位。</w:t>
            </w:r>
          </w:p>
          <w:p w14:paraId="483405F6">
            <w:pPr>
              <w:pStyle w:val="46"/>
              <w:keepNext w:val="0"/>
              <w:keepLines w:val="0"/>
              <w:widowControl/>
              <w:suppressLineNumbers w:val="0"/>
              <w:spacing w:before="0" w:beforeAutospacing="0" w:after="0" w:afterAutospacing="0" w:line="360" w:lineRule="auto"/>
              <w:ind w:left="0" w:right="0" w:firstLine="481"/>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lang w:val="en-US" w:eastAsia="zh-CN"/>
              </w:rPr>
              <w:t>2.由于市行政服务中心地下停车库不让限高&gt;2米车辆进入，因此送样品的车辆限高≦2米。不遵守此规定，后果自负。</w:t>
            </w:r>
          </w:p>
        </w:tc>
      </w:tr>
      <w:tr w14:paraId="2DB1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AD2A33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14:paraId="306144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D721E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7ADDEF1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★8.投标人必须在投标文件中</w:t>
            </w:r>
            <w:r>
              <w:rPr>
                <w:rFonts w:hint="eastAsia" w:ascii="宋体" w:hAnsi="宋体" w:eastAsia="宋体" w:cs="宋体"/>
                <w:b/>
                <w:color w:val="auto"/>
                <w:sz w:val="24"/>
                <w:szCs w:val="24"/>
                <w:highlight w:val="none"/>
                <w:lang w:eastAsia="zh-CN"/>
              </w:rPr>
              <w:t>书面承诺函（</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hint="default" w:ascii="宋体" w:hAnsi="宋体" w:eastAsia="宋体" w:cs="宋体"/>
                <w:b/>
                <w:color w:val="auto"/>
                <w:sz w:val="24"/>
                <w:szCs w:val="24"/>
                <w:highlight w:val="none"/>
              </w:rPr>
              <w:t>：一旦中标，在生产本次采购家具的过程中，邀请</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代表到工厂对产品从进料、开胚、上漆、成型等一系列生产程序进行检查、监督；</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根据合同进度可以采用书面函件形式要求投标人对生产情况合理改进，投标人应予书面答复，并制定完整的整改措施。</w:t>
            </w:r>
          </w:p>
        </w:tc>
      </w:tr>
      <w:tr w14:paraId="4C64B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093467B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noWrap w:val="0"/>
            <w:vAlign w:val="center"/>
          </w:tcPr>
          <w:p w14:paraId="24E7D06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5590410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3F81D23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★10.投标人必须在投标文件中</w:t>
            </w:r>
            <w:r>
              <w:rPr>
                <w:rFonts w:hint="eastAsia" w:ascii="宋体" w:hAnsi="宋体" w:eastAsia="宋体" w:cs="宋体"/>
                <w:b/>
                <w:color w:val="auto"/>
                <w:sz w:val="24"/>
                <w:szCs w:val="24"/>
                <w:highlight w:val="none"/>
                <w:lang w:eastAsia="zh-CN"/>
              </w:rPr>
              <w:t>书面承诺函（</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hint="default" w:ascii="宋体" w:hAnsi="宋体" w:eastAsia="宋体" w:cs="宋体"/>
                <w:b/>
                <w:color w:val="auto"/>
                <w:sz w:val="24"/>
                <w:szCs w:val="24"/>
                <w:highlight w:val="none"/>
              </w:rPr>
              <w:t>：一旦</w:t>
            </w:r>
            <w:r>
              <w:rPr>
                <w:rFonts w:hint="eastAsia" w:ascii="宋体" w:hAnsi="宋体" w:eastAsia="宋体" w:cs="宋体"/>
                <w:b/>
                <w:color w:val="auto"/>
                <w:sz w:val="24"/>
                <w:szCs w:val="24"/>
                <w:highlight w:val="none"/>
                <w:lang w:val="en-US" w:eastAsia="zh-CN"/>
              </w:rPr>
              <w:t>中标</w:t>
            </w:r>
            <w:r>
              <w:rPr>
                <w:rFonts w:hint="default" w:ascii="宋体" w:hAnsi="宋体" w:eastAsia="宋体" w:cs="宋体"/>
                <w:b/>
                <w:color w:val="auto"/>
                <w:sz w:val="24"/>
                <w:szCs w:val="24"/>
                <w:highlight w:val="none"/>
              </w:rPr>
              <w:t>，在保证按招标文件中要求提供的产品数量进行供货外，还应保证能够免费提供足够的样品供</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邀请相关部门对其在封闭式的环境中进行开放性的检测；如经检测家具环保等指标达不到国家以及招标文件中的要求，投标人应按成交价的2倍金额赔偿给</w:t>
            </w:r>
            <w:r>
              <w:rPr>
                <w:rFonts w:hint="eastAsia" w:ascii="宋体" w:hAnsi="宋体" w:eastAsia="宋体" w:cs="宋体"/>
                <w:b/>
                <w:color w:val="auto"/>
                <w:sz w:val="24"/>
                <w:szCs w:val="24"/>
                <w:highlight w:val="none"/>
                <w:lang w:eastAsia="zh-CN"/>
              </w:rPr>
              <w:t>使用单位，</w:t>
            </w:r>
            <w:r>
              <w:rPr>
                <w:rFonts w:hint="eastAsia" w:ascii="宋体" w:hAnsi="宋体" w:eastAsia="宋体" w:cs="宋体"/>
                <w:b/>
                <w:color w:val="auto"/>
                <w:sz w:val="24"/>
                <w:szCs w:val="24"/>
                <w:highlight w:val="none"/>
                <w:lang w:val="en-US" w:eastAsia="zh-CN"/>
              </w:rPr>
              <w:t>并要求更换符合要求的产品</w:t>
            </w:r>
            <w:r>
              <w:rPr>
                <w:rFonts w:hint="default" w:ascii="宋体" w:hAnsi="宋体" w:eastAsia="宋体" w:cs="宋体"/>
                <w:b/>
                <w:color w:val="auto"/>
                <w:sz w:val="24"/>
                <w:szCs w:val="24"/>
                <w:highlight w:val="none"/>
              </w:rPr>
              <w:t>。</w:t>
            </w:r>
          </w:p>
        </w:tc>
      </w:tr>
      <w:tr w14:paraId="5699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1C1F3DE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tcBorders>
              <w:bottom w:val="single" w:color="auto" w:sz="4" w:space="0"/>
            </w:tcBorders>
            <w:noWrap w:val="0"/>
            <w:vAlign w:val="center"/>
          </w:tcPr>
          <w:p w14:paraId="01D3BF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07AF2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7E5EBAD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eastAsia" w:ascii="宋体" w:hAnsi="宋体" w:eastAsia="宋体" w:cs="宋体"/>
                <w:b/>
                <w:color w:val="auto"/>
                <w:sz w:val="24"/>
                <w:szCs w:val="24"/>
                <w:highlight w:val="none"/>
                <w:lang w:val="en-US" w:eastAsia="zh-CN"/>
              </w:rPr>
              <w:t>5</w:t>
            </w:r>
            <w:r>
              <w:rPr>
                <w:rFonts w:hint="default" w:ascii="宋体" w:hAnsi="宋体" w:eastAsia="宋体" w:cs="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w:t>
            </w:r>
            <w:r>
              <w:rPr>
                <w:rFonts w:hint="eastAsia" w:ascii="宋体" w:hAnsi="宋体" w:eastAsia="宋体" w:cs="宋体"/>
                <w:b/>
                <w:color w:val="auto"/>
                <w:sz w:val="24"/>
                <w:szCs w:val="24"/>
                <w:highlight w:val="none"/>
                <w:lang w:val="en-US" w:eastAsia="zh-CN"/>
              </w:rPr>
              <w:t>一</w:t>
            </w:r>
            <w:r>
              <w:rPr>
                <w:rFonts w:hint="default" w:ascii="宋体" w:hAnsi="宋体" w:eastAsia="宋体" w:cs="宋体"/>
                <w:b/>
                <w:color w:val="auto"/>
                <w:sz w:val="24"/>
                <w:szCs w:val="24"/>
                <w:highlight w:val="none"/>
              </w:rPr>
              <w:t>名专人与</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建立服务联系。</w:t>
            </w:r>
          </w:p>
        </w:tc>
      </w:tr>
      <w:tr w14:paraId="00ABD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E98642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top"/>
          </w:tcPr>
          <w:p w14:paraId="30179D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6A268D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22259FCD">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★1.投标人须以人民币报价且报价总价应含货物费、运至</w:t>
            </w:r>
            <w:r>
              <w:rPr>
                <w:rFonts w:hint="eastAsia" w:ascii="宋体" w:hAnsi="宋体" w:eastAsia="宋体" w:cs="宋体"/>
                <w:b/>
                <w:color w:val="auto"/>
                <w:sz w:val="24"/>
                <w:szCs w:val="24"/>
                <w:highlight w:val="none"/>
                <w:lang w:eastAsia="zh-CN"/>
              </w:rPr>
              <w:t>使用单位</w:t>
            </w:r>
            <w:r>
              <w:rPr>
                <w:rFonts w:hint="default" w:ascii="宋体" w:hAnsi="宋体" w:eastAsia="宋体" w:cs="宋体"/>
                <w:b/>
                <w:color w:val="auto"/>
                <w:sz w:val="24"/>
                <w:szCs w:val="24"/>
                <w:highlight w:val="none"/>
              </w:rPr>
              <w:t>指定地点的运输费、保险费和伴随服务费（包括产品检验检测）、</w:t>
            </w:r>
            <w:r>
              <w:rPr>
                <w:rFonts w:hint="eastAsia" w:ascii="宋体" w:hAnsi="宋体" w:eastAsia="宋体" w:cs="宋体"/>
                <w:b/>
                <w:color w:val="auto"/>
                <w:sz w:val="24"/>
                <w:szCs w:val="24"/>
                <w:highlight w:val="none"/>
              </w:rPr>
              <w:t>新家具宿舍内旧插座的升级置换</w:t>
            </w:r>
            <w:r>
              <w:rPr>
                <w:rFonts w:hint="eastAsia" w:ascii="宋体" w:hAnsi="宋体" w:eastAsia="宋体" w:cs="宋体"/>
                <w:b/>
                <w:color w:val="auto"/>
                <w:sz w:val="24"/>
                <w:szCs w:val="24"/>
                <w:highlight w:val="none"/>
                <w:lang w:val="en-US" w:eastAsia="zh-CN"/>
              </w:rPr>
              <w:t>费</w:t>
            </w:r>
            <w:r>
              <w:rPr>
                <w:rFonts w:hint="eastAsia" w:ascii="宋体" w:hAnsi="宋体" w:eastAsia="宋体" w:cs="宋体"/>
                <w:b/>
                <w:color w:val="auto"/>
                <w:sz w:val="24"/>
                <w:szCs w:val="24"/>
                <w:highlight w:val="none"/>
                <w:lang w:eastAsia="zh-CN"/>
              </w:rPr>
              <w:t>、</w:t>
            </w:r>
            <w:r>
              <w:rPr>
                <w:rFonts w:hint="default" w:ascii="宋体" w:hAnsi="宋体" w:eastAsia="宋体" w:cs="宋体"/>
                <w:b/>
                <w:color w:val="auto"/>
                <w:sz w:val="24"/>
                <w:szCs w:val="24"/>
                <w:highlight w:val="none"/>
              </w:rPr>
              <w:t>安装调试（包括安装所需的辅材、配件等）费用、税收及售后服务等一切与完成本项目相关的费用，报价方式为指定目的地价。一旦中标，合同价款将不予调整。</w:t>
            </w:r>
            <w:r>
              <w:rPr>
                <w:rFonts w:hint="eastAsia" w:ascii="宋体" w:hAnsi="宋体" w:eastAsia="宋体" w:cs="宋体"/>
                <w:b/>
                <w:color w:val="auto"/>
                <w:sz w:val="24"/>
                <w:szCs w:val="24"/>
                <w:highlight w:val="none"/>
                <w:lang w:eastAsia="zh-CN"/>
              </w:rPr>
              <w:t>采购单位</w:t>
            </w:r>
            <w:r>
              <w:rPr>
                <w:rFonts w:hint="default" w:ascii="宋体" w:hAnsi="宋体" w:eastAsia="宋体" w:cs="宋体"/>
                <w:b/>
                <w:color w:val="auto"/>
                <w:sz w:val="24"/>
                <w:szCs w:val="24"/>
                <w:highlight w:val="none"/>
              </w:rPr>
              <w:t>不接受有选择的报价。</w:t>
            </w:r>
          </w:p>
        </w:tc>
      </w:tr>
      <w:tr w14:paraId="4FA3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F5E854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696" w:type="dxa"/>
            <w:noWrap w:val="0"/>
            <w:vAlign w:val="top"/>
          </w:tcPr>
          <w:p w14:paraId="3FC654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1A7D11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2864EEE8">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★1.本项目最高限价为人民币</w:t>
            </w:r>
            <w:r>
              <w:rPr>
                <w:rFonts w:hint="eastAsia" w:ascii="宋体" w:hAnsi="宋体" w:cs="宋体"/>
                <w:b/>
                <w:color w:val="auto"/>
                <w:sz w:val="24"/>
                <w:szCs w:val="24"/>
                <w:highlight w:val="none"/>
                <w:lang w:val="en-US" w:eastAsia="zh-CN"/>
              </w:rPr>
              <w:t>197.38</w:t>
            </w:r>
            <w:r>
              <w:rPr>
                <w:rFonts w:hint="eastAsia" w:ascii="宋体" w:hAnsi="宋体" w:eastAsia="宋体" w:cs="宋体"/>
                <w:b/>
                <w:color w:val="auto"/>
                <w:sz w:val="24"/>
                <w:szCs w:val="24"/>
                <w:highlight w:val="none"/>
                <w:lang w:val="en-US" w:eastAsia="zh-CN"/>
              </w:rPr>
              <w:t>万</w:t>
            </w:r>
            <w:r>
              <w:rPr>
                <w:rFonts w:hint="default" w:ascii="宋体" w:hAnsi="宋体" w:eastAsia="宋体" w:cs="宋体"/>
                <w:b/>
                <w:color w:val="auto"/>
                <w:sz w:val="24"/>
                <w:szCs w:val="24"/>
                <w:highlight w:val="none"/>
                <w:lang w:val="en-US" w:eastAsia="zh-CN"/>
              </w:rPr>
              <w:t>元</w:t>
            </w:r>
            <w:r>
              <w:rPr>
                <w:rFonts w:hint="default" w:ascii="宋体" w:hAnsi="宋体" w:eastAsia="宋体" w:cs="宋体"/>
                <w:b/>
                <w:color w:val="auto"/>
                <w:sz w:val="24"/>
                <w:szCs w:val="24"/>
                <w:highlight w:val="none"/>
              </w:rPr>
              <w:t>，投标人不得超过最高限价，否则将做无效投标处理。</w:t>
            </w:r>
          </w:p>
        </w:tc>
      </w:tr>
      <w:tr w14:paraId="38B2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67D3768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38</w:t>
            </w:r>
          </w:p>
        </w:tc>
        <w:tc>
          <w:tcPr>
            <w:tcW w:w="696" w:type="dxa"/>
            <w:noWrap w:val="0"/>
            <w:vAlign w:val="top"/>
          </w:tcPr>
          <w:p w14:paraId="106988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7CE0AE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4728A8F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★7.</w:t>
            </w:r>
            <w:r>
              <w:rPr>
                <w:rFonts w:hint="eastAsia" w:ascii="宋体" w:hAnsi="宋体" w:eastAsia="宋体" w:cs="宋体"/>
                <w:b/>
                <w:color w:val="auto"/>
                <w:sz w:val="24"/>
                <w:szCs w:val="24"/>
                <w:highlight w:val="none"/>
                <w:lang w:val="en-US" w:eastAsia="zh-CN"/>
              </w:rPr>
              <w:t>交货</w:t>
            </w:r>
            <w:r>
              <w:rPr>
                <w:rFonts w:hint="default" w:ascii="宋体" w:hAnsi="宋体" w:eastAsia="宋体" w:cs="宋体"/>
                <w:b/>
                <w:color w:val="auto"/>
                <w:sz w:val="24"/>
                <w:szCs w:val="24"/>
                <w:highlight w:val="none"/>
              </w:rPr>
              <w:t>期：合同签订</w:t>
            </w:r>
            <w:r>
              <w:rPr>
                <w:rFonts w:hint="eastAsia" w:ascii="宋体" w:hAnsi="宋体" w:cs="宋体"/>
                <w:b/>
                <w:color w:val="auto"/>
                <w:sz w:val="24"/>
                <w:szCs w:val="24"/>
                <w:highlight w:val="none"/>
                <w:lang w:val="en-US" w:eastAsia="zh-CN"/>
              </w:rPr>
              <w:t>后，接使用单位通知交货</w:t>
            </w:r>
            <w:r>
              <w:rPr>
                <w:rFonts w:hint="default" w:ascii="宋体" w:hAnsi="宋体" w:eastAsia="宋体" w:cs="宋体"/>
                <w:b/>
                <w:color w:val="auto"/>
                <w:sz w:val="24"/>
                <w:szCs w:val="24"/>
                <w:highlight w:val="none"/>
              </w:rPr>
              <w:t>之日起</w:t>
            </w:r>
            <w:r>
              <w:rPr>
                <w:rFonts w:hint="eastAsia" w:ascii="宋体" w:hAnsi="宋体" w:cs="宋体"/>
                <w:b/>
                <w:color w:val="auto"/>
                <w:sz w:val="24"/>
                <w:szCs w:val="24"/>
                <w:highlight w:val="none"/>
                <w:lang w:val="en-US" w:eastAsia="zh-CN"/>
              </w:rPr>
              <w:t>45</w:t>
            </w:r>
            <w:r>
              <w:rPr>
                <w:rFonts w:hint="default" w:ascii="宋体" w:hAnsi="宋体" w:eastAsia="宋体" w:cs="宋体"/>
                <w:b/>
                <w:color w:val="auto"/>
                <w:sz w:val="24"/>
                <w:szCs w:val="24"/>
                <w:highlight w:val="none"/>
              </w:rPr>
              <w:t>个日历日内</w:t>
            </w:r>
            <w:r>
              <w:rPr>
                <w:rFonts w:hint="default" w:ascii="宋体" w:hAnsi="宋体" w:eastAsia="宋体" w:cs="宋体"/>
                <w:b/>
                <w:color w:val="auto"/>
                <w:sz w:val="24"/>
                <w:szCs w:val="24"/>
                <w:highlight w:val="none"/>
              </w:rPr>
              <w:t>（含交货及安装）。</w:t>
            </w:r>
          </w:p>
        </w:tc>
      </w:tr>
      <w:tr w14:paraId="13D7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329354E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39</w:t>
            </w:r>
          </w:p>
        </w:tc>
        <w:tc>
          <w:tcPr>
            <w:tcW w:w="696" w:type="dxa"/>
            <w:noWrap w:val="0"/>
            <w:vAlign w:val="top"/>
          </w:tcPr>
          <w:p w14:paraId="26CD0A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201180E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9D2C0C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★9.投标人须在投标文件中作出响应：投标人若中标，未按工期内完成交付使用并最终验收合格，每逾期一天，罚款为合同总额的千分之一。</w:t>
            </w:r>
          </w:p>
        </w:tc>
      </w:tr>
      <w:tr w14:paraId="55DEC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56523A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40</w:t>
            </w:r>
          </w:p>
        </w:tc>
        <w:tc>
          <w:tcPr>
            <w:tcW w:w="696" w:type="dxa"/>
            <w:noWrap w:val="0"/>
            <w:vAlign w:val="top"/>
          </w:tcPr>
          <w:p w14:paraId="1C0685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6574D1EF">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附件二</w:t>
            </w:r>
          </w:p>
        </w:tc>
        <w:tc>
          <w:tcPr>
            <w:tcW w:w="5925" w:type="dxa"/>
            <w:noWrap w:val="0"/>
            <w:vAlign w:val="top"/>
          </w:tcPr>
          <w:p w14:paraId="1F535AF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contextualSpacing/>
              <w:textAlignment w:val="auto"/>
              <w:rPr>
                <w:rFonts w:hint="default" w:ascii="宋体" w:hAnsi="宋体" w:eastAsia="宋体" w:cs="宋体"/>
                <w:b/>
                <w:bCs w:val="0"/>
                <w:color w:val="auto"/>
                <w:kern w:val="2"/>
                <w:sz w:val="24"/>
                <w:szCs w:val="24"/>
                <w:highlight w:val="none"/>
                <w:lang w:val="en-US" w:eastAsia="zh-CN" w:bidi="ar-SA"/>
              </w:rPr>
            </w:pPr>
            <w:r>
              <w:rPr>
                <w:rFonts w:hint="eastAsia" w:ascii="宋体" w:hAnsi="宋体" w:eastAsia="宋体" w:cs="宋体"/>
                <w:b/>
                <w:bCs/>
                <w:color w:val="auto"/>
                <w:kern w:val="0"/>
                <w:sz w:val="24"/>
                <w:szCs w:val="24"/>
                <w:highlight w:val="none"/>
                <w:lang w:eastAsia="zh-CN"/>
              </w:rPr>
              <w:t>★</w:t>
            </w:r>
            <w:r>
              <w:rPr>
                <w:rFonts w:hint="eastAsia" w:ascii="宋体" w:hAnsi="宋体" w:eastAsia="宋体"/>
                <w:b/>
                <w:bCs w:val="0"/>
                <w:color w:val="auto"/>
                <w:sz w:val="24"/>
                <w:highlight w:val="none"/>
                <w:lang w:val="en-US" w:eastAsia="zh-CN"/>
              </w:rPr>
              <w:t>样品要求：</w:t>
            </w:r>
          </w:p>
          <w:p w14:paraId="32621F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contextualSpacing/>
              <w:textAlignment w:val="auto"/>
              <w:rPr>
                <w:rFonts w:hint="default"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bidi="ar-SA"/>
              </w:rPr>
              <w:t>1、</w:t>
            </w:r>
            <w:r>
              <w:rPr>
                <w:rFonts w:hint="eastAsia"/>
                <w:b/>
                <w:bCs w:val="0"/>
                <w:color w:val="auto"/>
                <w:sz w:val="24"/>
                <w:szCs w:val="24"/>
                <w:highlight w:val="none"/>
              </w:rPr>
              <w:t>需提供符合</w:t>
            </w:r>
            <w:r>
              <w:rPr>
                <w:rFonts w:hint="eastAsia"/>
                <w:b/>
                <w:bCs w:val="0"/>
                <w:color w:val="auto"/>
                <w:sz w:val="24"/>
                <w:szCs w:val="24"/>
                <w:highlight w:val="none"/>
                <w:lang w:val="en-US" w:eastAsia="zh-CN"/>
              </w:rPr>
              <w:t>采购清单</w:t>
            </w:r>
            <w:r>
              <w:rPr>
                <w:rFonts w:hint="eastAsia"/>
                <w:b/>
                <w:bCs w:val="0"/>
                <w:color w:val="auto"/>
                <w:sz w:val="24"/>
                <w:szCs w:val="24"/>
                <w:highlight w:val="none"/>
              </w:rPr>
              <w:t>技术要求的</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2.0米上下双层床（含鞋架）</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kern w:val="0"/>
                <w:sz w:val="24"/>
                <w:szCs w:val="24"/>
                <w:highlight w:val="none"/>
              </w:rPr>
              <w:t>实物样品</w:t>
            </w:r>
            <w:r>
              <w:rPr>
                <w:rFonts w:hint="eastAsia" w:ascii="宋体" w:hAnsi="宋体" w:eastAsia="宋体" w:cs="宋体"/>
                <w:b/>
                <w:bCs w:val="0"/>
                <w:color w:val="auto"/>
                <w:kern w:val="0"/>
                <w:sz w:val="24"/>
                <w:szCs w:val="24"/>
                <w:highlight w:val="none"/>
                <w:lang w:val="en-US" w:eastAsia="zh-CN"/>
              </w:rPr>
              <w:t>1</w:t>
            </w:r>
            <w:r>
              <w:rPr>
                <w:rFonts w:hint="eastAsia" w:ascii="宋体" w:hAnsi="宋体" w:eastAsia="宋体" w:cs="宋体"/>
                <w:b/>
                <w:bCs w:val="0"/>
                <w:color w:val="auto"/>
                <w:kern w:val="0"/>
                <w:sz w:val="24"/>
                <w:szCs w:val="24"/>
                <w:highlight w:val="none"/>
              </w:rPr>
              <w:t>套</w:t>
            </w:r>
            <w:r>
              <w:rPr>
                <w:rFonts w:hint="eastAsia" w:ascii="宋体" w:hAnsi="宋体" w:eastAsia="宋体" w:cs="宋体"/>
                <w:b/>
                <w:bCs w:val="0"/>
                <w:color w:val="auto"/>
                <w:kern w:val="0"/>
                <w:sz w:val="24"/>
                <w:szCs w:val="24"/>
                <w:highlight w:val="none"/>
                <w:lang w:eastAsia="zh-CN"/>
              </w:rPr>
              <w:t>；</w:t>
            </w:r>
          </w:p>
          <w:p w14:paraId="38A5F4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contextualSpacing/>
              <w:textAlignment w:val="auto"/>
              <w:rPr>
                <w:rFonts w:hint="default"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val="en-US" w:eastAsia="zh-CN" w:bidi="ar-SA"/>
              </w:rPr>
              <w:t>2、</w:t>
            </w:r>
            <w:r>
              <w:rPr>
                <w:rFonts w:hint="eastAsia"/>
                <w:b/>
                <w:bCs w:val="0"/>
                <w:color w:val="auto"/>
                <w:sz w:val="24"/>
                <w:szCs w:val="24"/>
                <w:highlight w:val="none"/>
              </w:rPr>
              <w:t>需单独提供符合</w:t>
            </w:r>
            <w:r>
              <w:rPr>
                <w:rFonts w:hint="eastAsia"/>
                <w:b/>
                <w:bCs w:val="0"/>
                <w:color w:val="auto"/>
                <w:sz w:val="24"/>
                <w:szCs w:val="24"/>
                <w:highlight w:val="none"/>
                <w:lang w:val="en-US" w:eastAsia="zh-CN"/>
              </w:rPr>
              <w:t>采购清单</w:t>
            </w:r>
            <w:r>
              <w:rPr>
                <w:rFonts w:hint="eastAsia"/>
                <w:b/>
                <w:bCs w:val="0"/>
                <w:color w:val="auto"/>
                <w:sz w:val="24"/>
                <w:szCs w:val="24"/>
                <w:highlight w:val="none"/>
              </w:rPr>
              <w:t>技术要求</w:t>
            </w:r>
            <w:r>
              <w:rPr>
                <w:rFonts w:hint="eastAsia"/>
                <w:b/>
                <w:bCs w:val="0"/>
                <w:color w:val="auto"/>
                <w:sz w:val="24"/>
                <w:szCs w:val="24"/>
                <w:highlight w:val="none"/>
                <w:lang w:val="en-US" w:eastAsia="zh-CN"/>
              </w:rPr>
              <w:t>的</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2.0米上下双层床</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kern w:val="0"/>
                <w:sz w:val="24"/>
                <w:szCs w:val="24"/>
                <w:highlight w:val="none"/>
                <w:lang w:val="en-US" w:eastAsia="zh-CN"/>
              </w:rPr>
              <w:t>中的床立柱1根（</w:t>
            </w:r>
            <w:r>
              <w:rPr>
                <w:rFonts w:hint="eastAsia" w:ascii="宋体" w:hAnsi="宋体" w:eastAsia="宋体" w:cs="宋体"/>
                <w:b/>
                <w:bCs w:val="0"/>
                <w:color w:val="auto"/>
                <w:sz w:val="24"/>
                <w:szCs w:val="24"/>
                <w:highlight w:val="none"/>
                <w:lang w:val="en-US" w:eastAsia="zh-CN"/>
              </w:rPr>
              <w:t>长度≥1200mm</w:t>
            </w:r>
            <w:r>
              <w:rPr>
                <w:rFonts w:hint="eastAsia" w:ascii="宋体" w:hAnsi="宋体" w:eastAsia="宋体" w:cs="宋体"/>
                <w:b/>
                <w:bCs w:val="0"/>
                <w:color w:val="auto"/>
                <w:kern w:val="0"/>
                <w:sz w:val="24"/>
                <w:szCs w:val="24"/>
                <w:highlight w:val="none"/>
                <w:lang w:val="en-US" w:eastAsia="zh-CN"/>
              </w:rPr>
              <w:t>）及配套塑制件1个；</w:t>
            </w:r>
          </w:p>
          <w:p w14:paraId="457288A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contextualSpacing/>
              <w:textAlignment w:val="auto"/>
              <w:rPr>
                <w:rFonts w:hint="default" w:ascii="宋体" w:hAnsi="宋体" w:eastAsia="宋体" w:cs="宋体"/>
                <w:b/>
                <w:bCs w:val="0"/>
                <w:color w:val="auto"/>
                <w:kern w:val="0"/>
                <w:sz w:val="24"/>
                <w:szCs w:val="24"/>
                <w:highlight w:val="none"/>
                <w:lang w:val="en-US" w:eastAsia="zh-CN"/>
              </w:rPr>
            </w:pPr>
            <w:r>
              <w:rPr>
                <w:rFonts w:hint="eastAsia" w:ascii="宋体" w:hAnsi="宋体" w:eastAsia="宋体" w:cs="宋体"/>
                <w:b/>
                <w:bCs w:val="0"/>
                <w:color w:val="auto"/>
                <w:kern w:val="0"/>
                <w:sz w:val="24"/>
                <w:szCs w:val="24"/>
                <w:highlight w:val="none"/>
                <w:lang w:val="en-US" w:eastAsia="zh-CN" w:bidi="ar-SA"/>
              </w:rPr>
              <w:t>3、</w:t>
            </w:r>
            <w:r>
              <w:rPr>
                <w:rFonts w:hint="eastAsia"/>
                <w:b/>
                <w:bCs w:val="0"/>
                <w:color w:val="auto"/>
                <w:sz w:val="24"/>
                <w:szCs w:val="24"/>
                <w:highlight w:val="none"/>
              </w:rPr>
              <w:t>需单独提供符合</w:t>
            </w:r>
            <w:r>
              <w:rPr>
                <w:rFonts w:hint="eastAsia"/>
                <w:b/>
                <w:bCs w:val="0"/>
                <w:color w:val="auto"/>
                <w:sz w:val="24"/>
                <w:szCs w:val="24"/>
                <w:highlight w:val="none"/>
                <w:lang w:val="en-US" w:eastAsia="zh-CN"/>
              </w:rPr>
              <w:t>采购清单</w:t>
            </w:r>
            <w:r>
              <w:rPr>
                <w:rFonts w:hint="eastAsia"/>
                <w:b/>
                <w:bCs w:val="0"/>
                <w:color w:val="auto"/>
                <w:sz w:val="24"/>
                <w:szCs w:val="24"/>
                <w:highlight w:val="none"/>
              </w:rPr>
              <w:t>技术要求的</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2.0米上下双层床</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kern w:val="0"/>
                <w:sz w:val="24"/>
                <w:szCs w:val="24"/>
                <w:highlight w:val="none"/>
                <w:lang w:val="en-US" w:eastAsia="zh-CN"/>
              </w:rPr>
              <w:t>中的床长横梁1根（</w:t>
            </w:r>
            <w:r>
              <w:rPr>
                <w:rFonts w:hint="eastAsia" w:ascii="宋体" w:hAnsi="宋体" w:eastAsia="宋体" w:cs="宋体"/>
                <w:b/>
                <w:bCs w:val="0"/>
                <w:color w:val="auto"/>
                <w:sz w:val="24"/>
                <w:szCs w:val="24"/>
                <w:highlight w:val="none"/>
                <w:lang w:val="en-US" w:eastAsia="zh-CN"/>
              </w:rPr>
              <w:t>长度≥1200mm</w:t>
            </w:r>
            <w:r>
              <w:rPr>
                <w:rFonts w:hint="eastAsia" w:ascii="宋体" w:hAnsi="宋体" w:eastAsia="宋体" w:cs="宋体"/>
                <w:b/>
                <w:bCs w:val="0"/>
                <w:color w:val="auto"/>
                <w:kern w:val="0"/>
                <w:sz w:val="24"/>
                <w:szCs w:val="24"/>
                <w:highlight w:val="none"/>
                <w:lang w:val="en-US" w:eastAsia="zh-CN"/>
              </w:rPr>
              <w:t>）；</w:t>
            </w:r>
          </w:p>
          <w:p w14:paraId="719377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contextualSpacing/>
              <w:textAlignment w:val="auto"/>
              <w:rPr>
                <w:rFonts w:hint="default" w:ascii="宋体" w:hAnsi="宋体" w:eastAsia="宋体" w:cs="宋体"/>
                <w:b/>
                <w:bCs w:val="0"/>
                <w:color w:val="auto"/>
                <w:kern w:val="0"/>
                <w:sz w:val="24"/>
                <w:szCs w:val="24"/>
                <w:highlight w:val="none"/>
                <w:lang w:val="en-US" w:eastAsia="zh-CN"/>
              </w:rPr>
            </w:pPr>
            <w:r>
              <w:rPr>
                <w:rFonts w:hint="eastAsia" w:ascii="宋体" w:hAnsi="宋体" w:eastAsia="宋体" w:cs="宋体"/>
                <w:b/>
                <w:bCs w:val="0"/>
                <w:color w:val="auto"/>
                <w:kern w:val="0"/>
                <w:sz w:val="24"/>
                <w:szCs w:val="24"/>
                <w:highlight w:val="none"/>
                <w:lang w:val="en-US" w:eastAsia="zh-CN" w:bidi="ar-SA"/>
              </w:rPr>
              <w:t>4、</w:t>
            </w:r>
            <w:r>
              <w:rPr>
                <w:rFonts w:hint="eastAsia"/>
                <w:b/>
                <w:bCs w:val="0"/>
                <w:color w:val="auto"/>
                <w:sz w:val="24"/>
                <w:szCs w:val="24"/>
                <w:highlight w:val="none"/>
              </w:rPr>
              <w:t>需单独提供符合</w:t>
            </w:r>
            <w:r>
              <w:rPr>
                <w:rFonts w:hint="eastAsia"/>
                <w:b/>
                <w:bCs w:val="0"/>
                <w:color w:val="auto"/>
                <w:sz w:val="24"/>
                <w:szCs w:val="24"/>
                <w:highlight w:val="none"/>
                <w:lang w:val="en-US" w:eastAsia="zh-CN"/>
              </w:rPr>
              <w:t>采购清单</w:t>
            </w:r>
            <w:r>
              <w:rPr>
                <w:rFonts w:hint="eastAsia"/>
                <w:b/>
                <w:bCs w:val="0"/>
                <w:color w:val="auto"/>
                <w:sz w:val="24"/>
                <w:szCs w:val="24"/>
                <w:highlight w:val="none"/>
              </w:rPr>
              <w:t>技术要求的</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2.0米上下双层床</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kern w:val="0"/>
                <w:sz w:val="24"/>
                <w:szCs w:val="24"/>
                <w:highlight w:val="none"/>
                <w:lang w:val="en-US" w:eastAsia="zh-CN"/>
              </w:rPr>
              <w:t>中的</w:t>
            </w:r>
            <w:r>
              <w:rPr>
                <w:rFonts w:hint="eastAsia" w:ascii="宋体" w:hAnsi="宋体" w:eastAsia="宋体" w:cs="宋体"/>
                <w:b/>
                <w:bCs w:val="0"/>
                <w:color w:val="auto"/>
                <w:sz w:val="24"/>
                <w:szCs w:val="24"/>
                <w:highlight w:val="none"/>
                <w:lang w:val="en-US" w:eastAsia="zh-CN"/>
              </w:rPr>
              <w:t>床前护栏外框管1根</w:t>
            </w:r>
            <w:r>
              <w:rPr>
                <w:rFonts w:hint="eastAsia" w:ascii="宋体" w:hAnsi="宋体" w:eastAsia="宋体" w:cs="宋体"/>
                <w:b/>
                <w:bCs w:val="0"/>
                <w:color w:val="auto"/>
                <w:kern w:val="0"/>
                <w:sz w:val="24"/>
                <w:szCs w:val="24"/>
                <w:highlight w:val="none"/>
                <w:lang w:val="en-US" w:eastAsia="zh-CN"/>
              </w:rPr>
              <w:t>（</w:t>
            </w:r>
            <w:r>
              <w:rPr>
                <w:rFonts w:hint="eastAsia" w:ascii="宋体" w:hAnsi="宋体" w:eastAsia="宋体" w:cs="宋体"/>
                <w:b/>
                <w:bCs w:val="0"/>
                <w:color w:val="auto"/>
                <w:sz w:val="24"/>
                <w:szCs w:val="24"/>
                <w:highlight w:val="none"/>
                <w:lang w:val="en-US" w:eastAsia="zh-CN"/>
              </w:rPr>
              <w:t>长度≥1200mm</w:t>
            </w:r>
            <w:r>
              <w:rPr>
                <w:rFonts w:hint="eastAsia" w:ascii="宋体" w:hAnsi="宋体" w:eastAsia="宋体" w:cs="宋体"/>
                <w:b/>
                <w:bCs w:val="0"/>
                <w:color w:val="auto"/>
                <w:kern w:val="0"/>
                <w:sz w:val="24"/>
                <w:szCs w:val="24"/>
                <w:highlight w:val="none"/>
                <w:lang w:val="en-US" w:eastAsia="zh-CN"/>
              </w:rPr>
              <w:t>）；</w:t>
            </w:r>
          </w:p>
          <w:p w14:paraId="6EBD333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contextualSpacing/>
              <w:textAlignment w:val="auto"/>
              <w:rPr>
                <w:rFonts w:hint="default" w:ascii="宋体" w:hAnsi="宋体" w:eastAsia="宋体" w:cs="宋体"/>
                <w:b/>
                <w:bCs w:val="0"/>
                <w:color w:val="auto"/>
                <w:kern w:val="0"/>
                <w:sz w:val="24"/>
                <w:szCs w:val="24"/>
                <w:highlight w:val="none"/>
                <w:lang w:val="en-US" w:eastAsia="zh-CN"/>
              </w:rPr>
            </w:pPr>
            <w:r>
              <w:rPr>
                <w:rFonts w:hint="eastAsia" w:ascii="宋体" w:hAnsi="宋体" w:eastAsia="宋体" w:cs="宋体"/>
                <w:b/>
                <w:bCs w:val="0"/>
                <w:color w:val="auto"/>
                <w:kern w:val="0"/>
                <w:sz w:val="24"/>
                <w:szCs w:val="24"/>
                <w:highlight w:val="none"/>
                <w:lang w:val="en-US" w:eastAsia="zh-CN" w:bidi="ar-SA"/>
              </w:rPr>
              <w:t>5、</w:t>
            </w:r>
            <w:r>
              <w:rPr>
                <w:rFonts w:hint="eastAsia"/>
                <w:b/>
                <w:bCs w:val="0"/>
                <w:color w:val="auto"/>
                <w:sz w:val="24"/>
                <w:szCs w:val="24"/>
                <w:highlight w:val="none"/>
              </w:rPr>
              <w:t>需单独提供符合</w:t>
            </w:r>
            <w:r>
              <w:rPr>
                <w:rFonts w:hint="eastAsia"/>
                <w:b/>
                <w:bCs w:val="0"/>
                <w:color w:val="auto"/>
                <w:sz w:val="24"/>
                <w:szCs w:val="24"/>
                <w:highlight w:val="none"/>
                <w:lang w:val="en-US" w:eastAsia="zh-CN"/>
              </w:rPr>
              <w:t>采购清单</w:t>
            </w:r>
            <w:r>
              <w:rPr>
                <w:rFonts w:hint="eastAsia"/>
                <w:b/>
                <w:bCs w:val="0"/>
                <w:color w:val="auto"/>
                <w:sz w:val="24"/>
                <w:szCs w:val="24"/>
                <w:highlight w:val="none"/>
              </w:rPr>
              <w:t>技术要求的</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2.0米上下双层床</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kern w:val="0"/>
                <w:sz w:val="24"/>
                <w:szCs w:val="24"/>
                <w:highlight w:val="none"/>
                <w:lang w:val="en-US" w:eastAsia="zh-CN"/>
              </w:rPr>
              <w:t>中的</w:t>
            </w:r>
            <w:r>
              <w:rPr>
                <w:rFonts w:hint="eastAsia" w:ascii="宋体" w:hAnsi="宋体" w:eastAsia="宋体" w:cs="宋体"/>
                <w:b/>
                <w:bCs w:val="0"/>
                <w:color w:val="auto"/>
                <w:sz w:val="24"/>
                <w:szCs w:val="24"/>
                <w:highlight w:val="none"/>
                <w:lang w:val="en-US" w:eastAsia="zh-CN"/>
              </w:rPr>
              <w:t>床头护栏横管1根</w:t>
            </w:r>
            <w:r>
              <w:rPr>
                <w:rFonts w:hint="eastAsia" w:ascii="宋体" w:hAnsi="宋体" w:eastAsia="宋体" w:cs="宋体"/>
                <w:b/>
                <w:bCs w:val="0"/>
                <w:color w:val="auto"/>
                <w:kern w:val="0"/>
                <w:sz w:val="24"/>
                <w:szCs w:val="24"/>
                <w:highlight w:val="none"/>
                <w:lang w:val="en-US" w:eastAsia="zh-CN"/>
              </w:rPr>
              <w:t>（</w:t>
            </w:r>
            <w:r>
              <w:rPr>
                <w:rFonts w:hint="eastAsia" w:ascii="宋体" w:hAnsi="宋体" w:eastAsia="宋体" w:cs="宋体"/>
                <w:b/>
                <w:bCs w:val="0"/>
                <w:color w:val="auto"/>
                <w:sz w:val="24"/>
                <w:szCs w:val="24"/>
                <w:highlight w:val="none"/>
                <w:lang w:val="en-US" w:eastAsia="zh-CN"/>
              </w:rPr>
              <w:t>长度≥1200mm</w:t>
            </w:r>
            <w:r>
              <w:rPr>
                <w:rFonts w:hint="eastAsia" w:ascii="宋体" w:hAnsi="宋体" w:eastAsia="宋体" w:cs="宋体"/>
                <w:b/>
                <w:bCs w:val="0"/>
                <w:color w:val="auto"/>
                <w:kern w:val="0"/>
                <w:sz w:val="24"/>
                <w:szCs w:val="24"/>
                <w:highlight w:val="none"/>
                <w:lang w:val="en-US" w:eastAsia="zh-CN"/>
              </w:rPr>
              <w:t>）；</w:t>
            </w:r>
          </w:p>
          <w:p w14:paraId="1B8F1D0F">
            <w:pPr>
              <w:keepNext w:val="0"/>
              <w:keepLines w:val="0"/>
              <w:suppressLineNumbers w:val="0"/>
              <w:spacing w:before="0" w:beforeAutospacing="0" w:after="0" w:afterAutospacing="0" w:line="360" w:lineRule="auto"/>
              <w:ind w:left="0" w:right="0"/>
              <w:rPr>
                <w:rFonts w:hint="default" w:ascii="宋体" w:hAnsi="宋体" w:eastAsia="宋体" w:cs="宋体"/>
                <w:b/>
                <w:color w:val="auto"/>
                <w:sz w:val="24"/>
                <w:szCs w:val="24"/>
                <w:highlight w:val="none"/>
              </w:rPr>
            </w:pPr>
            <w:r>
              <w:rPr>
                <w:rFonts w:hint="eastAsia" w:ascii="宋体" w:hAnsi="宋体" w:eastAsia="宋体" w:cs="宋体"/>
                <w:b/>
                <w:bCs w:val="0"/>
                <w:color w:val="auto"/>
                <w:kern w:val="0"/>
                <w:sz w:val="24"/>
                <w:szCs w:val="24"/>
                <w:highlight w:val="none"/>
                <w:lang w:val="en-US" w:eastAsia="zh-CN"/>
              </w:rPr>
              <w:t>6、</w:t>
            </w:r>
            <w:r>
              <w:rPr>
                <w:rFonts w:hint="eastAsia"/>
                <w:b/>
                <w:bCs w:val="0"/>
                <w:color w:val="auto"/>
                <w:sz w:val="24"/>
                <w:szCs w:val="24"/>
                <w:highlight w:val="none"/>
              </w:rPr>
              <w:t>需单独提供符合</w:t>
            </w:r>
            <w:r>
              <w:rPr>
                <w:rFonts w:hint="eastAsia"/>
                <w:b/>
                <w:bCs w:val="0"/>
                <w:color w:val="auto"/>
                <w:sz w:val="24"/>
                <w:szCs w:val="24"/>
                <w:highlight w:val="none"/>
                <w:lang w:val="en-US" w:eastAsia="zh-CN"/>
              </w:rPr>
              <w:t>采购清单</w:t>
            </w:r>
            <w:r>
              <w:rPr>
                <w:rFonts w:hint="eastAsia"/>
                <w:b/>
                <w:bCs w:val="0"/>
                <w:color w:val="auto"/>
                <w:sz w:val="24"/>
                <w:szCs w:val="24"/>
                <w:highlight w:val="none"/>
              </w:rPr>
              <w:t>技术要求的</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sz w:val="24"/>
                <w:szCs w:val="24"/>
                <w:highlight w:val="none"/>
                <w:lang w:val="en-US" w:eastAsia="zh-CN"/>
              </w:rPr>
              <w:t>2.0米上下双层床</w:t>
            </w:r>
            <w:r>
              <w:rPr>
                <w:rFonts w:hint="eastAsia" w:ascii="宋体" w:hAnsi="宋体" w:cs="宋体"/>
                <w:b/>
                <w:bCs w:val="0"/>
                <w:color w:val="auto"/>
                <w:sz w:val="24"/>
                <w:szCs w:val="24"/>
                <w:highlight w:val="none"/>
                <w:lang w:val="en-US" w:eastAsia="zh-CN"/>
              </w:rPr>
              <w:t>”</w:t>
            </w:r>
            <w:r>
              <w:rPr>
                <w:rFonts w:hint="eastAsia" w:ascii="宋体" w:hAnsi="宋体" w:eastAsia="宋体" w:cs="宋体"/>
                <w:b/>
                <w:bCs w:val="0"/>
                <w:color w:val="auto"/>
                <w:kern w:val="0"/>
                <w:sz w:val="24"/>
                <w:szCs w:val="24"/>
                <w:highlight w:val="none"/>
                <w:lang w:val="en-US" w:eastAsia="zh-CN"/>
              </w:rPr>
              <w:t>中的</w:t>
            </w:r>
            <w:r>
              <w:rPr>
                <w:rFonts w:hint="eastAsia" w:ascii="宋体" w:hAnsi="宋体" w:eastAsia="宋体" w:cs="宋体"/>
                <w:b/>
                <w:bCs w:val="0"/>
                <w:color w:val="auto"/>
                <w:sz w:val="24"/>
                <w:szCs w:val="24"/>
                <w:highlight w:val="none"/>
                <w:lang w:val="en-US" w:eastAsia="zh-CN"/>
              </w:rPr>
              <w:t>立柱顶盖及立柱防水脚套各1个；</w:t>
            </w:r>
          </w:p>
        </w:tc>
      </w:tr>
    </w:tbl>
    <w:p w14:paraId="443106B2">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03524D22">
      <w:pPr>
        <w:spacing w:line="360" w:lineRule="auto"/>
        <w:rPr>
          <w:rFonts w:hint="eastAsia" w:ascii="宋体" w:hAnsi="宋体" w:eastAsia="宋体" w:cs="宋体"/>
          <w:bCs/>
          <w:color w:val="auto"/>
          <w:sz w:val="24"/>
          <w:szCs w:val="24"/>
          <w:highlight w:val="none"/>
        </w:rPr>
      </w:pPr>
    </w:p>
    <w:p w14:paraId="7BF443E6">
      <w:pPr>
        <w:spacing w:line="360" w:lineRule="auto"/>
        <w:rPr>
          <w:rFonts w:hint="eastAsia" w:ascii="宋体" w:hAnsi="宋体" w:eastAsia="宋体" w:cs="宋体"/>
          <w:bCs/>
          <w:color w:val="auto"/>
          <w:sz w:val="24"/>
          <w:szCs w:val="24"/>
          <w:highlight w:val="none"/>
        </w:rPr>
      </w:pPr>
    </w:p>
    <w:p w14:paraId="75B4361E">
      <w:pPr>
        <w:spacing w:line="360" w:lineRule="auto"/>
        <w:ind w:firstLine="640" w:firstLineChars="200"/>
        <w:jc w:val="both"/>
        <w:rPr>
          <w:rFonts w:hint="eastAsia" w:ascii="宋体" w:hAnsi="宋体" w:eastAsia="宋体" w:cs="宋体"/>
          <w:color w:val="auto"/>
          <w:sz w:val="32"/>
          <w:szCs w:val="32"/>
          <w:highlight w:val="none"/>
        </w:rPr>
      </w:pPr>
    </w:p>
    <w:p w14:paraId="29E5AB1B">
      <w:pPr>
        <w:spacing w:line="360" w:lineRule="auto"/>
        <w:ind w:firstLine="640" w:firstLineChars="200"/>
        <w:jc w:val="both"/>
        <w:rPr>
          <w:rFonts w:hint="eastAsia" w:ascii="宋体" w:hAnsi="宋体" w:eastAsia="宋体" w:cs="宋体"/>
          <w:color w:val="auto"/>
          <w:sz w:val="32"/>
          <w:szCs w:val="32"/>
          <w:highlight w:val="none"/>
        </w:rPr>
      </w:pPr>
    </w:p>
    <w:p w14:paraId="3CE2E62D">
      <w:pPr>
        <w:spacing w:line="360" w:lineRule="auto"/>
        <w:ind w:firstLine="640" w:firstLineChars="200"/>
        <w:jc w:val="both"/>
        <w:rPr>
          <w:rFonts w:hint="eastAsia" w:ascii="宋体" w:hAnsi="宋体" w:eastAsia="宋体" w:cs="宋体"/>
          <w:color w:val="auto"/>
          <w:sz w:val="32"/>
          <w:szCs w:val="32"/>
          <w:highlight w:val="none"/>
        </w:rPr>
      </w:pPr>
    </w:p>
    <w:p w14:paraId="53FC79AA">
      <w:pPr>
        <w:spacing w:line="360" w:lineRule="auto"/>
        <w:ind w:firstLine="640" w:firstLineChars="200"/>
        <w:jc w:val="both"/>
        <w:rPr>
          <w:rFonts w:hint="eastAsia" w:ascii="宋体" w:hAnsi="宋体" w:eastAsia="宋体" w:cs="宋体"/>
          <w:color w:val="auto"/>
          <w:sz w:val="32"/>
          <w:szCs w:val="32"/>
          <w:highlight w:val="none"/>
        </w:rPr>
      </w:pPr>
    </w:p>
    <w:p w14:paraId="010FC593">
      <w:pPr>
        <w:spacing w:line="360" w:lineRule="auto"/>
        <w:ind w:firstLine="640" w:firstLineChars="200"/>
        <w:jc w:val="both"/>
        <w:rPr>
          <w:rFonts w:hint="eastAsia" w:ascii="宋体" w:hAnsi="宋体" w:eastAsia="宋体" w:cs="宋体"/>
          <w:color w:val="auto"/>
          <w:sz w:val="32"/>
          <w:szCs w:val="32"/>
          <w:highlight w:val="none"/>
        </w:rPr>
      </w:pPr>
    </w:p>
    <w:p w14:paraId="69DF7E94">
      <w:pPr>
        <w:spacing w:line="360" w:lineRule="auto"/>
        <w:ind w:firstLine="640" w:firstLineChars="200"/>
        <w:jc w:val="both"/>
        <w:rPr>
          <w:rFonts w:hint="eastAsia" w:ascii="宋体" w:hAnsi="宋体" w:eastAsia="宋体" w:cs="宋体"/>
          <w:color w:val="auto"/>
          <w:sz w:val="32"/>
          <w:szCs w:val="32"/>
          <w:highlight w:val="none"/>
        </w:rPr>
      </w:pPr>
    </w:p>
    <w:p w14:paraId="7AF9431F">
      <w:pPr>
        <w:spacing w:line="360" w:lineRule="auto"/>
        <w:ind w:firstLine="640" w:firstLineChars="200"/>
        <w:jc w:val="both"/>
        <w:rPr>
          <w:rFonts w:hint="eastAsia" w:ascii="宋体" w:hAnsi="宋体" w:eastAsia="宋体" w:cs="宋体"/>
          <w:color w:val="auto"/>
          <w:sz w:val="32"/>
          <w:szCs w:val="32"/>
          <w:highlight w:val="none"/>
        </w:rPr>
      </w:pPr>
    </w:p>
    <w:p w14:paraId="2A98BA61">
      <w:pPr>
        <w:spacing w:line="360" w:lineRule="auto"/>
        <w:ind w:firstLine="640" w:firstLineChars="200"/>
        <w:jc w:val="both"/>
        <w:rPr>
          <w:rFonts w:hint="eastAsia" w:ascii="宋体" w:hAnsi="宋体" w:eastAsia="宋体" w:cs="宋体"/>
          <w:color w:val="auto"/>
          <w:sz w:val="32"/>
          <w:szCs w:val="32"/>
          <w:highlight w:val="none"/>
        </w:rPr>
      </w:pPr>
    </w:p>
    <w:p w14:paraId="42C80D40">
      <w:pPr>
        <w:spacing w:line="360" w:lineRule="auto"/>
        <w:ind w:firstLine="640" w:firstLineChars="200"/>
        <w:jc w:val="both"/>
        <w:rPr>
          <w:rFonts w:hint="eastAsia" w:ascii="宋体" w:hAnsi="宋体" w:eastAsia="宋体" w:cs="宋体"/>
          <w:color w:val="auto"/>
          <w:sz w:val="32"/>
          <w:szCs w:val="32"/>
          <w:highlight w:val="none"/>
        </w:rPr>
      </w:pPr>
    </w:p>
    <w:p w14:paraId="328C7E1B">
      <w:pPr>
        <w:spacing w:line="360" w:lineRule="auto"/>
        <w:ind w:firstLine="640" w:firstLineChars="200"/>
        <w:jc w:val="both"/>
        <w:rPr>
          <w:rFonts w:hint="eastAsia" w:ascii="宋体" w:hAnsi="宋体" w:eastAsia="宋体" w:cs="宋体"/>
          <w:color w:val="auto"/>
          <w:sz w:val="32"/>
          <w:szCs w:val="32"/>
          <w:highlight w:val="none"/>
        </w:rPr>
      </w:pPr>
    </w:p>
    <w:p w14:paraId="49DED4AF">
      <w:pPr>
        <w:spacing w:line="360" w:lineRule="auto"/>
        <w:ind w:firstLine="640" w:firstLineChars="200"/>
        <w:jc w:val="both"/>
        <w:rPr>
          <w:rFonts w:hint="eastAsia" w:ascii="宋体" w:hAnsi="宋体" w:eastAsia="宋体" w:cs="宋体"/>
          <w:color w:val="auto"/>
          <w:sz w:val="32"/>
          <w:szCs w:val="32"/>
          <w:highlight w:val="none"/>
        </w:rPr>
      </w:pPr>
    </w:p>
    <w:p w14:paraId="65EF922A">
      <w:pPr>
        <w:spacing w:line="360" w:lineRule="auto"/>
        <w:ind w:firstLine="640" w:firstLineChars="200"/>
        <w:jc w:val="both"/>
        <w:rPr>
          <w:rFonts w:hint="eastAsia" w:ascii="宋体" w:hAnsi="宋体" w:eastAsia="宋体" w:cs="宋体"/>
          <w:color w:val="auto"/>
          <w:sz w:val="32"/>
          <w:szCs w:val="32"/>
          <w:highlight w:val="none"/>
        </w:rPr>
      </w:pPr>
    </w:p>
    <w:p w14:paraId="27024262">
      <w:pPr>
        <w:spacing w:line="360" w:lineRule="auto"/>
        <w:ind w:firstLine="640" w:firstLineChars="200"/>
        <w:jc w:val="both"/>
        <w:rPr>
          <w:rFonts w:hint="eastAsia" w:ascii="宋体" w:hAnsi="宋体" w:eastAsia="宋体" w:cs="宋体"/>
          <w:color w:val="auto"/>
          <w:sz w:val="32"/>
          <w:szCs w:val="32"/>
          <w:highlight w:val="none"/>
        </w:rPr>
      </w:pPr>
    </w:p>
    <w:p w14:paraId="6CDBA127">
      <w:pPr>
        <w:spacing w:line="360" w:lineRule="auto"/>
        <w:ind w:firstLine="640" w:firstLineChars="200"/>
        <w:jc w:val="both"/>
        <w:rPr>
          <w:rFonts w:hint="eastAsia" w:ascii="宋体" w:hAnsi="宋体" w:eastAsia="宋体" w:cs="宋体"/>
          <w:color w:val="auto"/>
          <w:sz w:val="32"/>
          <w:szCs w:val="32"/>
          <w:highlight w:val="none"/>
        </w:rPr>
      </w:pPr>
    </w:p>
    <w:p w14:paraId="18D8C310">
      <w:pPr>
        <w:spacing w:line="360" w:lineRule="auto"/>
        <w:ind w:firstLine="640" w:firstLineChars="200"/>
        <w:jc w:val="both"/>
        <w:rPr>
          <w:rFonts w:hint="eastAsia" w:ascii="宋体" w:hAnsi="宋体" w:eastAsia="宋体" w:cs="宋体"/>
          <w:color w:val="auto"/>
          <w:sz w:val="32"/>
          <w:szCs w:val="32"/>
          <w:highlight w:val="none"/>
        </w:rPr>
      </w:pPr>
    </w:p>
    <w:p w14:paraId="6871C59E">
      <w:pPr>
        <w:spacing w:line="360" w:lineRule="auto"/>
        <w:ind w:firstLine="640" w:firstLineChars="200"/>
        <w:jc w:val="both"/>
        <w:rPr>
          <w:rFonts w:hint="eastAsia" w:ascii="宋体" w:hAnsi="宋体" w:eastAsia="宋体" w:cs="宋体"/>
          <w:color w:val="auto"/>
          <w:sz w:val="32"/>
          <w:szCs w:val="32"/>
          <w:highlight w:val="none"/>
        </w:rPr>
      </w:pPr>
    </w:p>
    <w:p w14:paraId="48E989E3">
      <w:pPr>
        <w:spacing w:line="360" w:lineRule="auto"/>
        <w:ind w:firstLine="643" w:firstLineChars="2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6FC4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31287EC1">
            <w:pPr>
              <w:pStyle w:val="3"/>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48F2FBCA">
            <w:pPr>
              <w:pStyle w:val="3"/>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3A29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0BA32D0E">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4027A18E">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44A0A8EC">
            <w:pPr>
              <w:pStyle w:val="3"/>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427A58ED">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643B016B">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w:t>
            </w:r>
            <w:r>
              <w:rPr>
                <w:rFonts w:hint="default"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个</w:t>
            </w:r>
            <w:r>
              <w:rPr>
                <w:rFonts w:hint="eastAsia" w:ascii="宋体" w:hAnsi="宋体" w:eastAsia="宋体" w:cs="宋体"/>
                <w:color w:val="auto"/>
                <w:sz w:val="24"/>
                <w:szCs w:val="24"/>
                <w:highlight w:val="none"/>
              </w:rPr>
              <w:t>。</w:t>
            </w:r>
          </w:p>
          <w:p w14:paraId="2D2F2B0F">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204592C4">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5AB6AA60">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231CE4B3">
            <w:pPr>
              <w:pStyle w:val="8"/>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3、关于同一品牌产品投标的相关规定</w:t>
            </w:r>
          </w:p>
          <w:p w14:paraId="5BEFF9E7">
            <w:pPr>
              <w:pStyle w:val="8"/>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61EDCA70">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47737517">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72DA2C63">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0341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48E1C52A">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14:paraId="6CD03C3F">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54D91B12">
            <w:pPr>
              <w:pStyle w:val="3"/>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6744ABCD">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0A80735E">
      <w:pPr>
        <w:pStyle w:val="3"/>
        <w:snapToGrid w:val="0"/>
        <w:spacing w:line="360" w:lineRule="auto"/>
        <w:ind w:firstLine="0"/>
        <w:rPr>
          <w:rFonts w:hint="eastAsia" w:ascii="宋体" w:hAnsi="宋体" w:eastAsia="宋体" w:cs="宋体"/>
          <w:b/>
          <w:color w:val="auto"/>
          <w:sz w:val="24"/>
          <w:szCs w:val="24"/>
          <w:highlight w:val="none"/>
          <w:u w:val="single"/>
        </w:rPr>
      </w:pPr>
    </w:p>
    <w:p w14:paraId="79EFF895">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0FEACC27">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14E887ED">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6"/>
        <w:tblW w:w="0" w:type="auto"/>
        <w:tblInd w:w="114"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7309"/>
        <w:gridCol w:w="500"/>
      </w:tblGrid>
      <w:tr w14:paraId="2693724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27" w:hRule="atLeast"/>
          <w:tblHeader/>
        </w:trPr>
        <w:tc>
          <w:tcPr>
            <w:tcW w:w="0" w:type="auto"/>
            <w:tcBorders>
              <w:top w:val="single" w:color="auto" w:sz="6" w:space="0"/>
              <w:left w:val="single" w:color="auto" w:sz="6" w:space="0"/>
              <w:bottom w:val="single" w:color="auto" w:sz="4" w:space="0"/>
              <w:right w:val="single" w:color="auto" w:sz="4" w:space="0"/>
            </w:tcBorders>
            <w:noWrap w:val="0"/>
            <w:vAlign w:val="center"/>
          </w:tcPr>
          <w:p w14:paraId="40AED348">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0" w:type="auto"/>
            <w:tcBorders>
              <w:top w:val="single" w:color="auto" w:sz="6" w:space="0"/>
              <w:left w:val="single" w:color="auto" w:sz="4" w:space="0"/>
              <w:bottom w:val="single" w:color="auto" w:sz="4" w:space="0"/>
              <w:right w:val="single" w:color="auto" w:sz="4" w:space="0"/>
            </w:tcBorders>
            <w:noWrap w:val="0"/>
            <w:vAlign w:val="center"/>
          </w:tcPr>
          <w:p w14:paraId="3E495476">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评分因素及评分细则</w:t>
            </w:r>
          </w:p>
        </w:tc>
        <w:tc>
          <w:tcPr>
            <w:tcW w:w="0" w:type="auto"/>
            <w:tcBorders>
              <w:top w:val="single" w:color="auto" w:sz="6" w:space="0"/>
              <w:left w:val="single" w:color="auto" w:sz="4" w:space="0"/>
              <w:bottom w:val="single" w:color="auto" w:sz="4" w:space="0"/>
              <w:right w:val="single" w:color="auto" w:sz="6" w:space="0"/>
            </w:tcBorders>
            <w:noWrap w:val="0"/>
            <w:vAlign w:val="center"/>
          </w:tcPr>
          <w:p w14:paraId="68B33295">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3B89A94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72DD746D">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0" w:type="auto"/>
            <w:tcBorders>
              <w:top w:val="single" w:color="auto" w:sz="4" w:space="0"/>
              <w:left w:val="single" w:color="auto" w:sz="4" w:space="0"/>
              <w:bottom w:val="single" w:color="auto" w:sz="4" w:space="0"/>
              <w:right w:val="single" w:color="auto" w:sz="4" w:space="0"/>
            </w:tcBorders>
            <w:noWrap w:val="0"/>
            <w:vAlign w:val="top"/>
          </w:tcPr>
          <w:p w14:paraId="2101639D">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根据投标人所投货物中所使用的“铁床横梁”的技术参数进行评价：按以下要求提供检测报告，检测项目内容至少包含以下项目：</w:t>
            </w:r>
          </w:p>
          <w:p w14:paraId="09D8A6C0">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1、≥168h中性盐雾试验（保护等级≥9；耐蚀等级≥9）、</w:t>
            </w:r>
          </w:p>
          <w:p w14:paraId="41ECF17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2、有毒物质限量需包含（锑、砷、钡、镉、铬、铅、汞、硒）八种可迁移金属元素，且评定结果均须为“符合”。</w:t>
            </w:r>
          </w:p>
          <w:p w14:paraId="420A4F6D">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w:t>
            </w:r>
          </w:p>
          <w:p w14:paraId="74A05B74">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21431D54">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6E2371E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3470527B">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14:paraId="6BFBF027">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根据投标人所投货物中所使用“铁床立柱”的技术参数进行评价：按以下要求提供检测报告，检测项目内容至少包含以下项目：</w:t>
            </w:r>
          </w:p>
          <w:p w14:paraId="3EA8217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1、≥168h中性盐雾试验（保护等级≥9；耐蚀等级≥9）、</w:t>
            </w:r>
          </w:p>
          <w:p w14:paraId="2D97DDBB">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2、有毒物质限量需包含（锑、砷、钡、镉、铬、铅、汞、硒）八种可迁移金属元素，且评定结果均须为“符合”。</w:t>
            </w:r>
          </w:p>
          <w:p w14:paraId="6ABBC01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w:t>
            </w:r>
          </w:p>
          <w:p w14:paraId="5F924124">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5BA77D9B">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2630A1F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7D8C652A">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p>
        </w:tc>
        <w:tc>
          <w:tcPr>
            <w:tcW w:w="0" w:type="auto"/>
            <w:tcBorders>
              <w:top w:val="single" w:color="auto" w:sz="4" w:space="0"/>
              <w:left w:val="single" w:color="auto" w:sz="4" w:space="0"/>
              <w:bottom w:val="single" w:color="auto" w:sz="4" w:space="0"/>
              <w:right w:val="single" w:color="auto" w:sz="4" w:space="0"/>
            </w:tcBorders>
            <w:noWrap w:val="0"/>
            <w:vAlign w:val="top"/>
          </w:tcPr>
          <w:p w14:paraId="0F62AA4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根据投标人所投货物中所使用“导轨”的技术参数进行评价：按以下要求提供检测报告，检测项目内容至少包含以下项目：</w:t>
            </w:r>
          </w:p>
          <w:p w14:paraId="2175E4A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1、中性盐雾：≥168小时中性盐雾试验；（镀（涂）层本身的耐腐蚀等级≥10级，镀（涂）层对基体的保护等级≥10级）；</w:t>
            </w:r>
          </w:p>
          <w:p w14:paraId="44EC037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2、耐久性≥80000次并要求试验后：</w:t>
            </w:r>
          </w:p>
          <w:p w14:paraId="569C5544">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a）所有组件或连接件不应断裂损坏；b）通过手触压证实，用于紧固的组件不应松动；c）所有零部件不应有影响正常运作的变形或磨 损；d）五金连接件不应松动；e）所有组件的功能不应损害；f）抽屉导轨及其组件能正常工作。</w:t>
            </w:r>
          </w:p>
          <w:p w14:paraId="1F130247">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2EF383B7">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4232943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760111FD">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p>
        </w:tc>
        <w:tc>
          <w:tcPr>
            <w:tcW w:w="0" w:type="auto"/>
            <w:tcBorders>
              <w:top w:val="single" w:color="auto" w:sz="4" w:space="0"/>
              <w:left w:val="single" w:color="auto" w:sz="4" w:space="0"/>
              <w:bottom w:val="single" w:color="auto" w:sz="4" w:space="0"/>
              <w:right w:val="single" w:color="auto" w:sz="4" w:space="0"/>
            </w:tcBorders>
            <w:noWrap w:val="0"/>
            <w:vAlign w:val="top"/>
          </w:tcPr>
          <w:p w14:paraId="08E5B24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根据投标人所投货物中所使用“铰链”的技术参数进行评价：按以下要求提供检测报告，检测项目内容至少包含以下项目：</w:t>
            </w:r>
          </w:p>
          <w:p w14:paraId="7CEE984D">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1、中性盐雾：≥168小时中性盐雾试验；（镀（涂）层本身的耐腐蚀等级≥10级，镀（涂）层对基体的保护等级≥10级）；</w:t>
            </w:r>
          </w:p>
          <w:p w14:paraId="14BA5290">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2、耐久性≥80000次并要求试验后：</w:t>
            </w:r>
          </w:p>
          <w:p w14:paraId="265D899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所有组件或结合处不应断裂；b）通过手触压证实，用于紧固的组件不应松动；c）所有组件不应有影响正常运作的变形或磨损；d）固定组件不应松动；e）所有组件的功能不应损害；f）杯状暗铰链及其组件应能正常工作。</w:t>
            </w:r>
          </w:p>
          <w:p w14:paraId="61EB8B8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w:t>
            </w:r>
          </w:p>
          <w:p w14:paraId="46853B82">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05A92B17">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4262B96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1A0BB08B">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p>
        </w:tc>
        <w:tc>
          <w:tcPr>
            <w:tcW w:w="0" w:type="auto"/>
            <w:tcBorders>
              <w:top w:val="single" w:color="auto" w:sz="4" w:space="0"/>
              <w:left w:val="single" w:color="auto" w:sz="4" w:space="0"/>
              <w:bottom w:val="single" w:color="auto" w:sz="4" w:space="0"/>
              <w:right w:val="single" w:color="auto" w:sz="4" w:space="0"/>
            </w:tcBorders>
            <w:noWrap w:val="0"/>
            <w:vAlign w:val="top"/>
          </w:tcPr>
          <w:p w14:paraId="529CA595">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根据投标人所投货物“宿舍床”的技术参数进行评价：按以下要求提供检测报告，检测项目内容至少包含以下项目：</w:t>
            </w:r>
          </w:p>
          <w:p w14:paraId="7BE3D02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双层床类强度和耐久性7项（单项评价结果须为合格或符合）（①安全栏板静载荷试验；②床铺面垂直向下静载荷试验；③床铺面耐久性试验；④梯子及其附件强度；⑤踏脚板冲击试验；⑥框架和紧固件耐久性试验；⑦上层床或下层床的紧固件）；</w:t>
            </w:r>
          </w:p>
          <w:p w14:paraId="08366E0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2、力学性能（双层床类稳定性）（单项评价结果须为合格或符合）；</w:t>
            </w:r>
          </w:p>
          <w:p w14:paraId="3C8C2BC2">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3、≥168小时中性盐雾试验（金属表面耐腐蚀涂层对基体的保护等级≥9；金属表面耐腐蚀涂层本身的耐腐蚀等级≥9）；</w:t>
            </w:r>
          </w:p>
          <w:p w14:paraId="264EE37E">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w:t>
            </w:r>
          </w:p>
          <w:p w14:paraId="3541E273">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53B9DE16">
            <w:pPr>
              <w:keepNext w:val="0"/>
              <w:keepLines w:val="0"/>
              <w:suppressLineNumbers w:val="0"/>
              <w:bidi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47D39FE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652936E4">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32E5EB65">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根据投标人所投货物中所使用“三合一连接件”的技术参数进行评价：按以下要求提供检测报告，检测项目内容至少包含以下项目：</w:t>
            </w:r>
          </w:p>
          <w:p w14:paraId="26F48A8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1、外观性能要求（金属件）：（单项评价结果须为“合格”）</w:t>
            </w:r>
          </w:p>
          <w:p w14:paraId="1746DD6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①、电镀层应无剥落、返锈、毛刺；</w:t>
            </w:r>
          </w:p>
          <w:p w14:paraId="28A912A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②、电镀层应无烧焦、起泡、针孔、裂纹、花斑（不包括镀彩锌）和划痕；</w:t>
            </w:r>
          </w:p>
          <w:p w14:paraId="12C474BE">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2、中性盐雾：≥168小时中性盐雾试验；（镀层本身的耐腐蚀等级≥10级，镀层对基体的保护等级≥10级）；</w:t>
            </w:r>
          </w:p>
          <w:p w14:paraId="57C5094B">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3、品质属性：产品有害物质（家具涂层可迁元素）需包含镉、铅、铬、汞、锑、钡、硒、砷八种可迁移金属元素，且单项评价结果须为“合格”。</w:t>
            </w:r>
          </w:p>
          <w:p w14:paraId="41F959F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3C95DDF8">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17AE305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36E72C3B">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p>
        </w:tc>
        <w:tc>
          <w:tcPr>
            <w:tcW w:w="0" w:type="auto"/>
            <w:tcBorders>
              <w:top w:val="single" w:color="auto" w:sz="4" w:space="0"/>
              <w:left w:val="single" w:color="auto" w:sz="4" w:space="0"/>
              <w:bottom w:val="single" w:color="auto" w:sz="4" w:space="0"/>
              <w:right w:val="single" w:color="auto" w:sz="4" w:space="0"/>
            </w:tcBorders>
            <w:noWrap w:val="0"/>
            <w:vAlign w:val="top"/>
          </w:tcPr>
          <w:p w14:paraId="0836713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根据投标人所投货物中所使用的“不锈钢部件”的技术参数进行评价：按以下要求提供检测报告，检测项目内容至少包含以下项目：</w:t>
            </w:r>
          </w:p>
          <w:p w14:paraId="210096F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1、外观性能要求（金属件）：（单项评价结果须为“合格”）</w:t>
            </w:r>
          </w:p>
          <w:p w14:paraId="63579845">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①、喷涂层涂层应无漏喷、锈蚀和脱色、掉色现象；</w:t>
            </w:r>
          </w:p>
          <w:p w14:paraId="589D12E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②、喷涂层涂层应光滑均匀、色泽一致，应无流挂、疙瘩、皱皮、飞漆等缺陷；</w:t>
            </w:r>
          </w:p>
          <w:p w14:paraId="2256FD5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2、理化性能要求（金属喷漆（塑）涂层：（单项评价结果须为“合格”）</w:t>
            </w:r>
          </w:p>
          <w:p w14:paraId="5E2D02A8">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①、硬度：≥H；②、冲击强度：冲击高度400mm，应无剥落、裂纹、皱纹；③、附着力：应不低于2级；</w:t>
            </w:r>
          </w:p>
          <w:p w14:paraId="1CEA1B0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3、铜加速乙酸盐雾试验（CASS）：①、连续喷雾≥168h；②、镀（涂）层对基体的保护等级≥10级；③、镀（涂）层本身耐腐蚀等级≥10级；</w:t>
            </w:r>
          </w:p>
          <w:p w14:paraId="6D9AD07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4、品质属性：产品有害物质（家具涂层可迁元素）需包含镉、铅、铬、汞、锑、钡、硒、砷八种可迁移金属元素，检测结果均要求：未检出，且单项评价结果须为“合格”。</w:t>
            </w:r>
          </w:p>
          <w:p w14:paraId="3804EC8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2D755F7D">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250755D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358FA923">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0"/>
            <w:vAlign w:val="top"/>
          </w:tcPr>
          <w:p w14:paraId="59D5863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根据投标人所投货物中所使用的“床前护栏”的技术参数进行评价：按以下要求提供检测报告，检测项目内容至少包含以下项目：</w:t>
            </w:r>
          </w:p>
          <w:p w14:paraId="582C85B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1、家具中甲醛、苯、甲苯、二甲苯和TVOC的释放限量（总挥发性有机化合物（TVOC）：≤</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lang w:val="en-US" w:eastAsia="zh-CN"/>
              </w:rPr>
              <w:t>mg/m</w:t>
            </w:r>
            <w:r>
              <w:rPr>
                <w:rFonts w:hint="eastAsia" w:ascii="宋体" w:hAnsi="宋体" w:eastAsia="宋体" w:cs="宋体"/>
                <w:color w:val="auto"/>
                <w:sz w:val="24"/>
                <w:szCs w:val="24"/>
                <w:highlight w:val="none"/>
                <w:vertAlign w:val="superscript"/>
                <w:lang w:val="en-US" w:eastAsia="zh-CN"/>
              </w:rPr>
              <w:t>3</w:t>
            </w:r>
            <w:r>
              <w:rPr>
                <w:rFonts w:hint="eastAsia" w:ascii="宋体" w:hAnsi="宋体" w:eastAsia="宋体" w:cs="宋体"/>
                <w:color w:val="auto"/>
                <w:sz w:val="24"/>
                <w:szCs w:val="24"/>
                <w:highlight w:val="none"/>
                <w:lang w:val="en-US" w:eastAsia="zh-CN"/>
              </w:rPr>
              <w:t>。</w:t>
            </w:r>
          </w:p>
          <w:p w14:paraId="7D5F3E6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2、耐盐雾性≥168h：①、外观：无开裂、起泡；②、质量变化率：≤2%③、厚度变化率：≤2%。</w:t>
            </w:r>
          </w:p>
          <w:p w14:paraId="541D0118">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3、恒温恒湿试验（≥168h）：试验后，试样表面应无开裂。</w:t>
            </w:r>
          </w:p>
          <w:p w14:paraId="3BC349C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4、温度/湿度组合循环试验（≥168h）：试验后，试样表面应无开裂。</w:t>
            </w:r>
          </w:p>
          <w:p w14:paraId="6BA7550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13AEA99D">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4B2E2EE8">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301D7491">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9</w:t>
            </w:r>
          </w:p>
        </w:tc>
        <w:tc>
          <w:tcPr>
            <w:tcW w:w="0" w:type="auto"/>
            <w:tcBorders>
              <w:top w:val="single" w:color="auto" w:sz="4" w:space="0"/>
              <w:left w:val="single" w:color="auto" w:sz="4" w:space="0"/>
              <w:bottom w:val="single" w:color="auto" w:sz="4" w:space="0"/>
              <w:right w:val="single" w:color="auto" w:sz="4" w:space="0"/>
            </w:tcBorders>
            <w:noWrap w:val="0"/>
            <w:vAlign w:val="top"/>
          </w:tcPr>
          <w:p w14:paraId="25F7FE7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根据投标人所投货物中所使用的“涂层钢架”的技术参数进行评价：按以下要求提供检测报告，检测项目内容至少包含以下项目：</w:t>
            </w:r>
          </w:p>
          <w:p w14:paraId="1343C1F7">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1、外观性能要求（金属件）：（单项评价结果须为“合格”）</w:t>
            </w:r>
          </w:p>
          <w:p w14:paraId="0C63A1A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①喷涂层应无漏喷、锈蚀和脱色、掉色现象；</w:t>
            </w:r>
          </w:p>
          <w:p w14:paraId="0991E7C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②喷涂层应光滑均匀、色泽一致，应无流挂、疙瘩、皱皮、飞漆等缺陷；</w:t>
            </w:r>
          </w:p>
          <w:p w14:paraId="763BBFB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2、理化性能要求（金属喷漆（塑）涂层：（单项评价结果须为“合格”）</w:t>
            </w:r>
          </w:p>
          <w:p w14:paraId="645124B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①硬度</w:t>
            </w:r>
            <w:r>
              <w:rPr>
                <w:rFonts w:hint="eastAsia" w:ascii="宋体" w:hAnsi="宋体" w:eastAsia="宋体" w:cs="宋体"/>
                <w:color w:val="auto"/>
                <w:sz w:val="24"/>
                <w:szCs w:val="24"/>
                <w:highlight w:val="none"/>
                <w:lang w:val="en-US" w:eastAsia="zh-CN"/>
              </w:rPr>
              <w:t>：≥H；</w:t>
            </w:r>
          </w:p>
          <w:p w14:paraId="5AA9344D">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②冲击强度：冲击高度400mm，应无剥落、裂纹、皱纹；</w:t>
            </w:r>
          </w:p>
          <w:p w14:paraId="46BB94BD">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③附着力：应不低于2级；</w:t>
            </w:r>
          </w:p>
          <w:p w14:paraId="061A869B">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3、中性盐雾：≥168小时中性盐雾试验；（涂层本身的耐腐蚀等级≥10级，涂层对基体的保护等级≥10级）；</w:t>
            </w:r>
          </w:p>
          <w:p w14:paraId="6877B6C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4、品质属性：产品有害物质（家具涂层可迁元素）需包含镉、铅、铬、汞、锑、钡、硒、砷八种可迁移金属元素，且单项评价结果须为“合格”；</w:t>
            </w:r>
          </w:p>
          <w:p w14:paraId="627EAFA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5、抗霉菌性能：检测结果为0级。</w:t>
            </w:r>
          </w:p>
          <w:p w14:paraId="747234A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427742EE">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0031BCE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7C455FDA">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10</w:t>
            </w:r>
          </w:p>
        </w:tc>
        <w:tc>
          <w:tcPr>
            <w:tcW w:w="0" w:type="auto"/>
            <w:tcBorders>
              <w:top w:val="single" w:color="auto" w:sz="4" w:space="0"/>
              <w:left w:val="single" w:color="auto" w:sz="4" w:space="0"/>
              <w:bottom w:val="single" w:color="auto" w:sz="4" w:space="0"/>
              <w:right w:val="single" w:color="auto" w:sz="4" w:space="0"/>
            </w:tcBorders>
            <w:noWrap w:val="0"/>
            <w:vAlign w:val="top"/>
          </w:tcPr>
          <w:p w14:paraId="2C9D66B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根据投标人所投货物中所使用的“螺丝配件”的技术参数进行评价：按以下要求提供检测报告，检测项目内容至少包含以下项目：</w:t>
            </w:r>
          </w:p>
          <w:p w14:paraId="61ADA8A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1、外观性能要求（金属件）：（单项评价结果须为“合格”）</w:t>
            </w:r>
          </w:p>
          <w:p w14:paraId="379150A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①电镀层应无剥落、返锈、毛刺；</w:t>
            </w:r>
          </w:p>
          <w:p w14:paraId="58A657F5">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②电镀层应无烧焦、起泡、针孔、裂纹、花斑（不包括镀彩锌）和划痕；</w:t>
            </w:r>
          </w:p>
          <w:p w14:paraId="491D261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2、中性盐雾：≥168小时中性盐雾试验；（镀层本身的耐腐蚀等级≥10级，镀层对基体的保护等级≥10级）；</w:t>
            </w:r>
          </w:p>
          <w:p w14:paraId="4465C0A5">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3、品质属性：产品有害物质（家具涂层可迁元素）需包含镉、铅、铬、汞、锑、钡、硒、砷八种可迁移金属元素，且单项评价结果须为“合格”。</w:t>
            </w:r>
          </w:p>
          <w:p w14:paraId="584DC692">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50EF3E46">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w:t>
            </w:r>
          </w:p>
        </w:tc>
      </w:tr>
      <w:tr w14:paraId="39BFDC3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0BD1E8CF">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11</w:t>
            </w:r>
          </w:p>
        </w:tc>
        <w:tc>
          <w:tcPr>
            <w:tcW w:w="0" w:type="auto"/>
            <w:tcBorders>
              <w:top w:val="single" w:color="auto" w:sz="4" w:space="0"/>
              <w:left w:val="single" w:color="auto" w:sz="4" w:space="0"/>
              <w:bottom w:val="single" w:color="auto" w:sz="4" w:space="0"/>
              <w:right w:val="single" w:color="auto" w:sz="4" w:space="0"/>
            </w:tcBorders>
            <w:noWrap w:val="0"/>
            <w:vAlign w:val="top"/>
          </w:tcPr>
          <w:p w14:paraId="22DD54A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根据投标人所投货物“学习桌”的技术参数进行评价：按以下要求提供检测报告，检测项目内容至少包含以下项目：</w:t>
            </w:r>
          </w:p>
          <w:p w14:paraId="543C2A5D">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1、安全性能要求（单项评价结果须为“合格”）</w:t>
            </w:r>
          </w:p>
          <w:p w14:paraId="443CAA2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①有害物质限量：产品中人造板部件甲醛释放量：≤0.1mg/m³。②有害物质限量（产品涂层和覆面层中可溶性重金属）：可溶性铅≤90mg/kg；可溶性镉≤75mg/kg；可溶性铬≤60mg/kg；可溶性汞≤60mg/kg。</w:t>
            </w:r>
          </w:p>
          <w:p w14:paraId="737706B7">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2、铜加速乙酸盐雾试验（CASS）：连续喷雾≥168小时，镀(涂)层对基体的保护等级≥10级，镀(涂)层本身耐腐蚀等级≥10级。</w:t>
            </w:r>
          </w:p>
          <w:p w14:paraId="00D4E694">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3、抗菌性能：抑菌率（单项评价结果须为“合格”）</w:t>
            </w:r>
          </w:p>
          <w:p w14:paraId="49AAD30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①铜绿假单胞菌：≥99%；②痤疮丙酸杆菌：≥99%。</w:t>
            </w:r>
          </w:p>
          <w:p w14:paraId="6FBF8D6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4、耐霉菌性（耐霉菌性等级）①宛氏拟青霉：检测结果须为0级；②土曲霉：检测结果须为0级。</w:t>
            </w:r>
          </w:p>
          <w:p w14:paraId="34C68EEE">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5、有害物质限量（单项评价结果须为“合格”）甲醛释放量（9-11L干燥器法）:≤1.5mg/L。</w:t>
            </w:r>
          </w:p>
          <w:p w14:paraId="5E162185">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15E3DE25">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16C2AAA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0B07C1BB">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12</w:t>
            </w:r>
          </w:p>
        </w:tc>
        <w:tc>
          <w:tcPr>
            <w:tcW w:w="0" w:type="auto"/>
            <w:tcBorders>
              <w:top w:val="single" w:color="auto" w:sz="4" w:space="0"/>
              <w:left w:val="single" w:color="auto" w:sz="4" w:space="0"/>
              <w:bottom w:val="single" w:color="auto" w:sz="4" w:space="0"/>
              <w:right w:val="single" w:color="auto" w:sz="4" w:space="0"/>
            </w:tcBorders>
            <w:noWrap w:val="0"/>
            <w:vAlign w:val="top"/>
          </w:tcPr>
          <w:p w14:paraId="75D254C8">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根据投标人所投货物“定制储物柜”的技术参数进行评价：按以下要求提供检测报告，检测项目内容至少包含以下项目：</w:t>
            </w:r>
          </w:p>
          <w:p w14:paraId="6D839803">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1、表面理化性能要求（软、硬质覆面）：（单项评价结果须为“合格”）</w:t>
            </w:r>
          </w:p>
          <w:p w14:paraId="442C0F38">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耐冷热循环：无裂缝、开裂、起皱、鼓泡现象。②耐干热：不低于3级。③耐湿热：不低于3级。④耐划痕：加载1.5N。表面无大于90%的连续划痕或表面装饰花纹无破坏现象。⑤耐污染性能：应不低于3级。⑥表面耐磨性：图案：磨100r后应保留50%以上花纹。⑦抗冲击：冲击高度50mm，不低于3级。⑧耐光色牢度（灰色样卡）：≥4级。</w:t>
            </w:r>
          </w:p>
          <w:p w14:paraId="2974705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2、乙酸盐雾试验（ASS）：连续喷雾≥168小时，镀(涂)层对基体的保护等级≥10级，镀(涂)层本身耐腐蚀等级≥10级。</w:t>
            </w:r>
          </w:p>
          <w:p w14:paraId="335343F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3、抗菌性能：抑菌率（单项评价结果须为“合格”）①枯草芽孢杆菌：≥99%；②乙型副伤寒沙门氏菌：≥99%。</w:t>
            </w:r>
          </w:p>
          <w:p w14:paraId="2E0F8BB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4、耐霉菌性（耐霉菌性等级）：①产黄青霉：检测结果须为0级；②球毛壳霉：检测结果须为0级。</w:t>
            </w:r>
          </w:p>
          <w:p w14:paraId="68655385">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5、有害物质限量（单项评价结果须为“合格”）甲醛释放量（9-11L干燥器法）:≤1.5mg/L。</w:t>
            </w:r>
          </w:p>
          <w:p w14:paraId="535E550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3831022E">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46803AC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1A9ED5C8">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13</w:t>
            </w:r>
          </w:p>
        </w:tc>
        <w:tc>
          <w:tcPr>
            <w:tcW w:w="0" w:type="auto"/>
            <w:tcBorders>
              <w:top w:val="single" w:color="auto" w:sz="4" w:space="0"/>
              <w:left w:val="single" w:color="auto" w:sz="4" w:space="0"/>
              <w:bottom w:val="single" w:color="auto" w:sz="4" w:space="0"/>
              <w:right w:val="single" w:color="auto" w:sz="4" w:space="0"/>
            </w:tcBorders>
            <w:noWrap w:val="0"/>
            <w:vAlign w:val="top"/>
          </w:tcPr>
          <w:p w14:paraId="45C2D819">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根据投标人所投货物“写字椅（休闲椅）”的技术参数进行评价：按以下要求提供检测报告，检测项目内容至少包含以下项目：</w:t>
            </w:r>
          </w:p>
          <w:p w14:paraId="448F51E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1、理化性能要求（单项评价结果须为“合格”）</w:t>
            </w:r>
          </w:p>
          <w:p w14:paraId="36B671D2">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①金属喷漆（塑）涂层：a)硬度≥H；b)冲击度：冲击高度400mm，应无剥落、裂纹、皱纹；c)耐腐蚀：无鼓泡产生、无锈迹、剥落、起皱、变色和失光等现象；d)附着力：应不低于2级。</w:t>
            </w:r>
          </w:p>
          <w:p w14:paraId="6BD434E3">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②金属电镀层：抗盐雾18h，直径1.5mm以下锈点≤20点/d㎡，其中直径≥1.0mm锈点不超过5点（距边缘棱角2mm以内的不计）。</w:t>
            </w:r>
          </w:p>
          <w:p w14:paraId="1B280B48">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③覆面材料（纺织面料/皮革）：a)耐干摩擦≥4级；b)耐湿摩擦≥3级；c)纺织面料PH值：4.0～7.5。</w:t>
            </w:r>
          </w:p>
          <w:p w14:paraId="74D1CD02">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2、铜加速乙酸盐雾试验（CASS）：连续喷雾≥168小时，镀(涂)层对基体的保护等级≥10级，镀(涂)层本身耐腐蚀等级≥10级。</w:t>
            </w:r>
          </w:p>
          <w:p w14:paraId="265CB82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3、抗菌性能抑菌率（单项评价结果须为“合格”）：①铜绿假单胞菌：≥99%；②宋内志贺氏菌：≥99%。</w:t>
            </w:r>
          </w:p>
          <w:p w14:paraId="7071BB97">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4、耐霉菌性（耐霉菌性等级）：①桔青霉：检测结果须为0级；②赭曲霉：检测结果须为0级。</w:t>
            </w:r>
          </w:p>
          <w:p w14:paraId="5C55EE27">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3534A775">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5E24A66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46C1F5C4">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1-14</w:t>
            </w:r>
          </w:p>
        </w:tc>
        <w:tc>
          <w:tcPr>
            <w:tcW w:w="0" w:type="auto"/>
            <w:tcBorders>
              <w:top w:val="single" w:color="auto" w:sz="4" w:space="0"/>
              <w:left w:val="single" w:color="auto" w:sz="4" w:space="0"/>
              <w:bottom w:val="single" w:color="auto" w:sz="4" w:space="0"/>
              <w:right w:val="single" w:color="auto" w:sz="4" w:space="0"/>
            </w:tcBorders>
            <w:noWrap w:val="0"/>
            <w:vAlign w:val="top"/>
          </w:tcPr>
          <w:p w14:paraId="31FE7862">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根据投标人所投货物中所使用的“布料”的技术参数进行评价：按以下要求提供检测报告，检测项目内容至少包含以下项目：</w:t>
            </w:r>
          </w:p>
          <w:p w14:paraId="078CB48D">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1、甲醛含量：单项评价结果须为“合格”；</w:t>
            </w:r>
          </w:p>
          <w:p w14:paraId="768E2433">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2、染色牢度：（单项评价结果须为“合格”）①耐酸汗渍（变色、沾色）≥4级；②耐碱汗渍（变色、沾色）≥4级；③耐干摩擦（经向、纬向）≥4级。</w:t>
            </w:r>
          </w:p>
          <w:p w14:paraId="7676A8C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3、纺织品防霉性能的评价：检测结果为0级（强防霉级）。</w:t>
            </w:r>
          </w:p>
          <w:p w14:paraId="5BC95AC3">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07BA16D6">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0AD5D16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4C5246DC">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1-15</w:t>
            </w:r>
          </w:p>
        </w:tc>
        <w:tc>
          <w:tcPr>
            <w:tcW w:w="0" w:type="auto"/>
            <w:tcBorders>
              <w:top w:val="single" w:color="auto" w:sz="4" w:space="0"/>
              <w:left w:val="single" w:color="auto" w:sz="4" w:space="0"/>
              <w:bottom w:val="single" w:color="auto" w:sz="4" w:space="0"/>
              <w:right w:val="single" w:color="auto" w:sz="4" w:space="0"/>
            </w:tcBorders>
            <w:noWrap w:val="0"/>
            <w:vAlign w:val="top"/>
          </w:tcPr>
          <w:p w14:paraId="4D12517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根据投标人所投货物中所使用的“塑料部件”的技术参数进行评价：按以下要求提供检测报告，检测项目内容至少包含以下项目：</w:t>
            </w:r>
          </w:p>
          <w:p w14:paraId="7EE039D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1、邻苯二甲酸酯:（单项评价结果须为“合格”）（DBP、BBP、DEHP、DNOP、DINP、DIDP）≤0.1%；</w:t>
            </w:r>
          </w:p>
          <w:p w14:paraId="76B739E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2、重金属：（单项评价结果须为“合格”）</w:t>
            </w:r>
          </w:p>
          <w:p w14:paraId="4B1915B8">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①可溶性铅≤90（mg/kg）；②可溶性镉≤75（mg/kg）；③可溶性铬≤60（mg/kg）；④可溶性汞≤60（mg/kg）；</w:t>
            </w:r>
          </w:p>
          <w:p w14:paraId="19E3A608">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3、抗菌性能要求（其它材料覆面的家具）：（单项评价结果须为“合格”）当抑菌率不小于90%时，表示样品具有抗菌效果；当抑菌率不小于99%时，表示</w:t>
            </w:r>
            <w:r>
              <w:rPr>
                <w:rFonts w:hint="eastAsia" w:ascii="宋体" w:hAnsi="宋体" w:eastAsia="宋体" w:cs="宋体"/>
                <w:color w:val="auto"/>
                <w:sz w:val="24"/>
                <w:szCs w:val="24"/>
                <w:highlight w:val="none"/>
                <w:lang w:val="en-US" w:eastAsia="zh-CN"/>
              </w:rPr>
              <w:t>样品</w:t>
            </w:r>
            <w:r>
              <w:rPr>
                <w:rFonts w:hint="eastAsia" w:ascii="宋体" w:hAnsi="宋体" w:eastAsia="宋体" w:cs="宋体"/>
                <w:color w:val="auto"/>
                <w:sz w:val="24"/>
                <w:szCs w:val="24"/>
                <w:highlight w:val="none"/>
                <w:lang w:val="en-US" w:eastAsia="zh-CN"/>
              </w:rPr>
              <w:t>具有较好的抑菌效果；</w:t>
            </w:r>
          </w:p>
          <w:p w14:paraId="13C5E32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4、塑料防霉剂的防霉效果：检测结果为0级。</w:t>
            </w:r>
          </w:p>
          <w:p w14:paraId="7B84EFA7">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完全满足以上全部要求的得3分，否则不得分。注：投标人需提供国家认可检验（检测）机构出具的有效检验（检测）报告复印件佐证，检验（检测）报告须具有检验（检测）资质标识（至少包含CMA）并盖有检验（检测）专用章且需附有真伪查询二维码。投标人未提供检测报告或者不符合要求的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4674F551">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2F3B993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77D96246">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1-16</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1E7B9A7F">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根据投标人所投货物“2.0米上下双层床”技术参数响应情况进行评价：</w:t>
            </w:r>
          </w:p>
          <w:p w14:paraId="091960C0">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满足</w:t>
            </w:r>
            <w:r>
              <w:rPr>
                <w:rFonts w:hint="eastAsia" w:ascii="宋体" w:hAnsi="宋体" w:eastAsia="宋体" w:cs="宋体"/>
                <w:color w:val="auto"/>
                <w:sz w:val="24"/>
                <w:szCs w:val="24"/>
                <w:highlight w:val="none"/>
                <w:lang w:val="en-US" w:eastAsia="zh-CN"/>
              </w:rPr>
              <w:t>“4、床长横梁及长横梁与床立柱连接方式：床长横梁管材截面外边尺寸81mm*40mm（±2mm），采用厚度≥1.2mm冷扎带钢，经轧压线辊压成型，高频焊接成只带一条焊痕的闭口型材管；长横梁与床立柱采用卡式连接件连接，方便拆装。</w:t>
            </w:r>
          </w:p>
          <w:p w14:paraId="191DE40E">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5、床短横梁及短横梁与床立柱连接方式：床短横梁管材截面外边尺寸81mm*30mm（±2mm），采用厚度≥1.2mm冷扎带钢，经轧压线辊压成型，高频焊接成只带一条焊痕的闭口型材管。</w:t>
            </w:r>
          </w:p>
          <w:p w14:paraId="0CAA6B27">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6、床挂勾：床钩挂与床长横梁两头焊接一体，床挂钩采用厚度≥3mm钢板冲压成型。带有三个卡钩，对应床立柱上的三个卡口。</w:t>
            </w:r>
          </w:p>
          <w:p w14:paraId="584D1B11">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床板横撑及横撑与床长横梁连接方式：横撑管采用30mm*20mm*1.2mm方管；横撑管与床板接触面为20mm面。横撑管与长横梁采用自上而下的卡接方式、带有突出卡齿防止安装后弹出；放上床板后无法从其他方向取出，必须拿掉床板从下往上推出。”投标人需提供承诺（格式自拟）并加盖投标人公章，完全满足得 3 分，否则不得分。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4FA3BB48">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5C63587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4A9B04F8">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1-17</w:t>
            </w:r>
          </w:p>
        </w:tc>
        <w:tc>
          <w:tcPr>
            <w:tcW w:w="0" w:type="auto"/>
            <w:tcBorders>
              <w:top w:val="single" w:color="auto" w:sz="4" w:space="0"/>
              <w:left w:val="single" w:color="auto" w:sz="4" w:space="0"/>
              <w:bottom w:val="single" w:color="auto" w:sz="4" w:space="0"/>
              <w:right w:val="single" w:color="auto" w:sz="4" w:space="0"/>
            </w:tcBorders>
            <w:noWrap w:val="0"/>
            <w:vAlign w:val="top"/>
          </w:tcPr>
          <w:p w14:paraId="263DD3F3">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根据投标人所投货物“2.1米上下上单层床”技术参数响应情况进行评价：</w:t>
            </w:r>
          </w:p>
          <w:p w14:paraId="568334F3">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满足</w:t>
            </w:r>
            <w:r>
              <w:rPr>
                <w:rFonts w:hint="eastAsia" w:ascii="宋体" w:hAnsi="宋体" w:eastAsia="宋体" w:cs="宋体"/>
                <w:color w:val="auto"/>
                <w:sz w:val="24"/>
                <w:szCs w:val="24"/>
                <w:highlight w:val="none"/>
                <w:lang w:val="en-US" w:eastAsia="zh-CN"/>
              </w:rPr>
              <w:t>“9、床头护栏：横管管材截面外边尺寸30*30mm（±2mm），采用厚度≥0.9mm冷扎带钢，经轧压线辊压成型，高频焊接成只带一条焊痕的闭口型材管。焊接时弧面朝内、增加安全和舒适性。竖管采用≥φ19*1.0mm圆管，护栏镶嵌挡板，挡板厚18mm（±1mm）、采用E0级绿色实木环保多层免漆板。护栏外框与床立柱及床短横梁整体焊接。</w:t>
            </w:r>
          </w:p>
          <w:p w14:paraId="23A09F8D">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10、上铺开口小护栏：护栏外框管材截面外边尺寸28mm*32mm（±2mm），采用厚度≥1.0mm冷扎带钢，经轧压线辊压成型，高频焊接成只带一条焊痕的闭口型材管。护栏外框外端为弧面造型，其中一个宽度28mm的面带有三个弧面造型制作时该面朝外，增加安全和美观性。竖管采用≥φ19*1.0mm圆管。”投标人需提供承诺（格式自拟）并加盖投标人公章，完全满足得 3 分，否则不得分。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62280227">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4C39AF0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6995A991">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1-18</w:t>
            </w:r>
          </w:p>
        </w:tc>
        <w:tc>
          <w:tcPr>
            <w:tcW w:w="0" w:type="auto"/>
            <w:tcBorders>
              <w:top w:val="single" w:color="auto" w:sz="4" w:space="0"/>
              <w:left w:val="single" w:color="auto" w:sz="4" w:space="0"/>
              <w:bottom w:val="single" w:color="auto" w:sz="4" w:space="0"/>
              <w:right w:val="single" w:color="auto" w:sz="4" w:space="0"/>
            </w:tcBorders>
            <w:noWrap w:val="0"/>
            <w:vAlign w:val="top"/>
          </w:tcPr>
          <w:p w14:paraId="531F1E3E">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根据投标人所投货物“定制储物柜”技术参数响应情况进行评价：</w:t>
            </w:r>
          </w:p>
          <w:p w14:paraId="0F8FCA4A">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满足</w:t>
            </w:r>
            <w:r>
              <w:rPr>
                <w:rFonts w:hint="eastAsia" w:ascii="宋体" w:hAnsi="宋体" w:eastAsia="宋体" w:cs="宋体"/>
                <w:color w:val="auto"/>
                <w:sz w:val="24"/>
                <w:szCs w:val="24"/>
                <w:highlight w:val="none"/>
                <w:lang w:val="en-US" w:eastAsia="zh-CN"/>
              </w:rPr>
              <w:t>“钢制脚架：</w:t>
            </w:r>
          </w:p>
          <w:p w14:paraId="1F2053A8">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A.四周立柱采用≥40*40*1.2mm方管，横杆采用≥25*25*1.0mm方管、鞋架层板采用≥15*15*0.7mm方管，</w:t>
            </w:r>
          </w:p>
          <w:p w14:paraId="059A070B">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B.顶端焊接钢板锁片，安装时采用螺丝固定于柜体底部、钢板厚度≥2.0mm。</w:t>
            </w:r>
          </w:p>
          <w:p w14:paraId="226D234C">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C.底部配有塑制防水脚套。</w:t>
            </w:r>
          </w:p>
          <w:p w14:paraId="001EA836">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D.钢制部分须经过除油、酸洗除锈、中和、表调、磷化处理。表面静电喷塑涂装处理。” 投标人需提供承诺（格式自拟）并加盖投标人公章，完全满足得2分，否则不得分。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7E565E9D">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r>
      <w:tr w14:paraId="5D58E1C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tcBorders>
              <w:top w:val="single" w:color="auto" w:sz="4" w:space="0"/>
              <w:left w:val="single" w:color="auto" w:sz="6" w:space="0"/>
              <w:bottom w:val="single" w:color="auto" w:sz="4" w:space="0"/>
              <w:right w:val="single" w:color="auto" w:sz="4" w:space="0"/>
            </w:tcBorders>
            <w:noWrap w:val="0"/>
            <w:vAlign w:val="center"/>
          </w:tcPr>
          <w:p w14:paraId="54F2A1FB">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1-19</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72A3FB5E">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根据投标人所投货物“床板”技术参数响应情况进行评价：</w:t>
            </w:r>
            <w:r>
              <w:rPr>
                <w:rFonts w:hint="eastAsia" w:ascii="宋体" w:hAnsi="宋体" w:cs="宋体"/>
                <w:color w:val="auto"/>
                <w:sz w:val="24"/>
                <w:szCs w:val="24"/>
                <w:highlight w:val="none"/>
                <w:lang w:val="en-US" w:eastAsia="zh-CN"/>
              </w:rPr>
              <w:t>满足</w:t>
            </w:r>
            <w:r>
              <w:rPr>
                <w:rFonts w:hint="eastAsia" w:ascii="宋体" w:hAnsi="宋体" w:eastAsia="宋体" w:cs="宋体"/>
                <w:color w:val="auto"/>
                <w:sz w:val="24"/>
                <w:szCs w:val="24"/>
                <w:highlight w:val="none"/>
                <w:lang w:val="en-US" w:eastAsia="zh-CN"/>
              </w:rPr>
              <w:t xml:space="preserve">“杉木实木 </w:t>
            </w:r>
          </w:p>
          <w:p w14:paraId="51815002">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（1）要用5至7片杉木机械组成双面抛光不带皮。</w:t>
            </w:r>
          </w:p>
          <w:p w14:paraId="4DD04A4B">
            <w:pPr>
              <w:keepNext w:val="0"/>
              <w:keepLines w:val="0"/>
              <w:suppressLineNumbers w:val="0"/>
              <w:bidi w:val="0"/>
              <w:spacing w:before="0" w:beforeAutospacing="0" w:after="0" w:afterAutospacing="0" w:line="360" w:lineRule="auto"/>
              <w:ind w:left="0" w:right="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sz w:val="24"/>
                <w:szCs w:val="24"/>
                <w:highlight w:val="none"/>
                <w:lang w:val="en-US" w:eastAsia="zh-CN"/>
              </w:rPr>
              <w:t>（2）床板底用四根40×30mm木楞连接杉木板，厚度16mm。”投标人需提供承诺（格式自拟）并加盖投标人公章，完全满足得2 分，否则不得分。</w:t>
            </w:r>
          </w:p>
        </w:tc>
        <w:tc>
          <w:tcPr>
            <w:tcW w:w="0" w:type="auto"/>
            <w:tcBorders>
              <w:top w:val="single" w:color="auto" w:sz="4" w:space="0"/>
              <w:left w:val="single" w:color="auto" w:sz="4" w:space="0"/>
              <w:bottom w:val="single" w:color="auto" w:sz="4" w:space="0"/>
              <w:right w:val="single" w:color="auto" w:sz="6" w:space="0"/>
            </w:tcBorders>
            <w:noWrap w:val="0"/>
            <w:vAlign w:val="center"/>
          </w:tcPr>
          <w:p w14:paraId="745F37A6">
            <w:pPr>
              <w:keepNext w:val="0"/>
              <w:keepLines w:val="0"/>
              <w:suppressLineNumbers w:val="0"/>
              <w:bidi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r>
    </w:tbl>
    <w:p w14:paraId="0E7FD2AF">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1A511413">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6"/>
        <w:tblW w:w="8769" w:type="dxa"/>
        <w:jc w:val="center"/>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autofit"/>
        <w:tblCellMar>
          <w:top w:w="0" w:type="dxa"/>
          <w:left w:w="108" w:type="dxa"/>
          <w:bottom w:w="0" w:type="dxa"/>
          <w:right w:w="108" w:type="dxa"/>
        </w:tblCellMar>
      </w:tblPr>
      <w:tblGrid>
        <w:gridCol w:w="696"/>
        <w:gridCol w:w="7282"/>
        <w:gridCol w:w="791"/>
      </w:tblGrid>
      <w:tr w14:paraId="1A56D5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86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455886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7282" w:type="dxa"/>
            <w:tcBorders>
              <w:top w:val="single" w:color="auto" w:sz="4" w:space="0"/>
              <w:left w:val="single" w:color="auto" w:sz="4" w:space="0"/>
              <w:bottom w:val="single" w:color="auto" w:sz="4" w:space="0"/>
              <w:right w:val="single" w:color="auto" w:sz="4" w:space="0"/>
            </w:tcBorders>
            <w:noWrap w:val="0"/>
            <w:vAlign w:val="center"/>
          </w:tcPr>
          <w:p w14:paraId="4A99DE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0E6DE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686D8A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6F9B53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580212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1</w:t>
            </w:r>
          </w:p>
        </w:tc>
        <w:tc>
          <w:tcPr>
            <w:tcW w:w="7282" w:type="dxa"/>
            <w:tcBorders>
              <w:top w:val="single" w:color="auto" w:sz="4" w:space="0"/>
              <w:left w:val="single" w:color="auto" w:sz="4" w:space="0"/>
              <w:bottom w:val="single" w:color="auto" w:sz="4" w:space="0"/>
              <w:right w:val="single" w:color="auto" w:sz="4" w:space="0"/>
            </w:tcBorders>
            <w:noWrap w:val="0"/>
            <w:vAlign w:val="center"/>
          </w:tcPr>
          <w:p w14:paraId="77A613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人或所投产品制造商</w:t>
            </w:r>
            <w:r>
              <w:rPr>
                <w:rFonts w:hint="eastAsia" w:ascii="宋体" w:hAnsi="宋体" w:eastAsia="宋体" w:cs="宋体"/>
                <w:color w:val="auto"/>
                <w:kern w:val="0"/>
                <w:sz w:val="24"/>
                <w:szCs w:val="24"/>
                <w:highlight w:val="none"/>
              </w:rPr>
              <w:t>具有有效期内的</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sz w:val="24"/>
                <w:szCs w:val="24"/>
                <w:highlight w:val="none"/>
              </w:rPr>
              <w:t>质量管理体系认证、环境管理体系认证、职业健康安全管理体系认证</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highlight w:val="none"/>
              </w:rPr>
              <w:t>每个得</w:t>
            </w: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rPr>
              <w:t>分，满分</w:t>
            </w:r>
            <w:r>
              <w:rPr>
                <w:rFonts w:hint="eastAsia" w:ascii="宋体" w:hAnsi="宋体" w:eastAsia="宋体" w:cs="宋体"/>
                <w:color w:val="auto"/>
                <w:kern w:val="0"/>
                <w:sz w:val="24"/>
                <w:highlight w:val="none"/>
                <w:lang w:val="en-US" w:eastAsia="zh-CN"/>
              </w:rPr>
              <w:t>3</w:t>
            </w:r>
            <w:r>
              <w:rPr>
                <w:rFonts w:hint="eastAsia" w:ascii="宋体" w:hAnsi="宋体" w:eastAsia="宋体" w:cs="宋体"/>
                <w:color w:val="auto"/>
                <w:kern w:val="0"/>
                <w:sz w:val="24"/>
                <w:highlight w:val="none"/>
              </w:rPr>
              <w:t>分</w:t>
            </w:r>
            <w:r>
              <w:rPr>
                <w:rFonts w:hint="eastAsia" w:ascii="宋体" w:hAnsi="宋体" w:eastAsia="宋体" w:cs="宋体"/>
                <w:color w:val="auto"/>
                <w:sz w:val="24"/>
                <w:szCs w:val="24"/>
                <w:highlight w:val="none"/>
              </w:rPr>
              <w:t>，并书面承诺证书可在中国国家认证认可监督管理委员会网站（http://www.cnca.gov.cn/）查询到，投标人须提供有效认证证书复印件及书面承诺函（格式自拟）并加盖公章，否则不得分。</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0CD147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w:t>
            </w:r>
          </w:p>
        </w:tc>
      </w:tr>
      <w:tr w14:paraId="7554FD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79AA49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2</w:t>
            </w:r>
          </w:p>
        </w:tc>
        <w:tc>
          <w:tcPr>
            <w:tcW w:w="7282" w:type="dxa"/>
            <w:tcBorders>
              <w:top w:val="single" w:color="auto" w:sz="4" w:space="0"/>
              <w:left w:val="single" w:color="auto" w:sz="4" w:space="0"/>
              <w:bottom w:val="single" w:color="auto" w:sz="4" w:space="0"/>
              <w:right w:val="single" w:color="auto" w:sz="4" w:space="0"/>
            </w:tcBorders>
            <w:noWrap w:val="0"/>
            <w:vAlign w:val="center"/>
          </w:tcPr>
          <w:p w14:paraId="472541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人所投产品制造商</w:t>
            </w:r>
            <w:r>
              <w:rPr>
                <w:rFonts w:hint="eastAsia" w:ascii="宋体" w:hAnsi="宋体" w:eastAsia="宋体" w:cs="宋体"/>
                <w:color w:val="auto"/>
                <w:sz w:val="24"/>
                <w:szCs w:val="24"/>
                <w:highlight w:val="none"/>
              </w:rPr>
              <w:t>具有有效期内“家具产品有害物质限量认证证书”的得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分，并书面承诺证书可在中国国家认证认可监督管理委员会网站（http://www.cnca.gov.cn/）查询到，投标人须提供有效认证证书复印件及书面承诺函（格式自拟）并加盖公章，否则不得分。</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63B931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r>
      <w:tr w14:paraId="47A25F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155F20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3</w:t>
            </w:r>
          </w:p>
        </w:tc>
        <w:tc>
          <w:tcPr>
            <w:tcW w:w="7282" w:type="dxa"/>
            <w:tcBorders>
              <w:top w:val="single" w:color="auto" w:sz="4" w:space="0"/>
              <w:left w:val="single" w:color="auto" w:sz="4" w:space="0"/>
              <w:bottom w:val="single" w:color="auto" w:sz="4" w:space="0"/>
              <w:right w:val="single" w:color="auto" w:sz="4" w:space="0"/>
            </w:tcBorders>
            <w:noWrap w:val="0"/>
            <w:vAlign w:val="center"/>
          </w:tcPr>
          <w:p w14:paraId="0B528E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人所投产品制造商</w:t>
            </w:r>
            <w:r>
              <w:rPr>
                <w:rFonts w:hint="eastAsia" w:ascii="宋体" w:hAnsi="宋体" w:eastAsia="宋体" w:cs="宋体"/>
                <w:color w:val="auto"/>
                <w:sz w:val="24"/>
                <w:szCs w:val="24"/>
                <w:highlight w:val="none"/>
              </w:rPr>
              <w:t>具有有效期内“低VOCs家具产品认证证书”的得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分，并书面承诺证书可在中国国家认证认可监督管理委员会网站(http://www.cnca.gov.cn) 或 中 国 合 格 评 定 国 家 认 可 委 员 会 (https://www.cnas.org.cn) 查询到，投标人须提供有效认证证书复印件及书面承诺函（格式自拟）并加盖公章，否则不得分。</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635573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r>
      <w:tr w14:paraId="39ED5F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54236B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4</w:t>
            </w:r>
          </w:p>
        </w:tc>
        <w:tc>
          <w:tcPr>
            <w:tcW w:w="7282" w:type="dxa"/>
            <w:tcBorders>
              <w:top w:val="single" w:color="auto" w:sz="4" w:space="0"/>
              <w:left w:val="single" w:color="auto" w:sz="4" w:space="0"/>
              <w:bottom w:val="single" w:color="auto" w:sz="4" w:space="0"/>
              <w:right w:val="single" w:color="auto" w:sz="4" w:space="0"/>
            </w:tcBorders>
            <w:noWrap w:val="0"/>
            <w:vAlign w:val="top"/>
          </w:tcPr>
          <w:p w14:paraId="39D76A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人所投产品制造商</w:t>
            </w:r>
            <w:r>
              <w:rPr>
                <w:rFonts w:hint="eastAsia" w:ascii="宋体" w:hAnsi="宋体" w:eastAsia="宋体" w:cs="宋体"/>
                <w:color w:val="auto"/>
                <w:kern w:val="0"/>
                <w:sz w:val="24"/>
                <w:szCs w:val="24"/>
                <w:highlight w:val="none"/>
              </w:rPr>
              <w:t>具有有效期内“</w:t>
            </w:r>
            <w:r>
              <w:rPr>
                <w:rFonts w:hint="eastAsia" w:ascii="宋体" w:hAnsi="宋体" w:eastAsia="宋体" w:cs="宋体"/>
                <w:bCs/>
                <w:color w:val="auto"/>
                <w:sz w:val="24"/>
                <w:szCs w:val="24"/>
                <w:highlight w:val="none"/>
              </w:rPr>
              <w:t>人类工效学认证证书</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分，并书面承诺证书可在中国国家认证认可监督管理委员会网站</w:t>
            </w:r>
            <w:r>
              <w:rPr>
                <w:rFonts w:hint="eastAsia" w:ascii="宋体" w:hAnsi="宋体" w:eastAsia="宋体" w:cs="宋体"/>
                <w:color w:val="auto"/>
                <w:kern w:val="0"/>
                <w:sz w:val="24"/>
                <w:szCs w:val="24"/>
                <w:highlight w:val="none"/>
                <w:lang w:bidi="ar"/>
              </w:rPr>
              <w:t xml:space="preserve">(http://www.cnca.gov.cn) 或 中 国 合 格 评 定 国 家 认 可 委 员 (https://www.cnas.org.cn) </w:t>
            </w:r>
            <w:r>
              <w:rPr>
                <w:rFonts w:hint="eastAsia" w:ascii="宋体" w:hAnsi="宋体" w:eastAsia="宋体" w:cs="宋体"/>
                <w:color w:val="auto"/>
                <w:sz w:val="24"/>
                <w:szCs w:val="24"/>
                <w:highlight w:val="none"/>
              </w:rPr>
              <w:t>查询到，投标人须提供有效认证证书复印件及书面承诺函（格式自拟）并加盖公章，否则不得分。</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0D7D7B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p>
        </w:tc>
      </w:tr>
      <w:tr w14:paraId="00EFCA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5D99E8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5</w:t>
            </w:r>
          </w:p>
        </w:tc>
        <w:tc>
          <w:tcPr>
            <w:tcW w:w="7282" w:type="dxa"/>
            <w:tcBorders>
              <w:top w:val="single" w:color="auto" w:sz="4" w:space="0"/>
              <w:left w:val="single" w:color="auto" w:sz="4" w:space="0"/>
              <w:bottom w:val="single" w:color="auto" w:sz="4" w:space="0"/>
              <w:right w:val="single" w:color="auto" w:sz="4" w:space="0"/>
            </w:tcBorders>
            <w:noWrap w:val="0"/>
            <w:vAlign w:val="center"/>
          </w:tcPr>
          <w:p w14:paraId="038074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人所投产品制造商</w:t>
            </w:r>
            <w:r>
              <w:rPr>
                <w:rFonts w:hint="eastAsia" w:ascii="宋体" w:hAnsi="宋体" w:eastAsia="宋体" w:cs="宋体"/>
                <w:color w:val="auto"/>
                <w:sz w:val="24"/>
                <w:szCs w:val="24"/>
                <w:highlight w:val="none"/>
              </w:rPr>
              <w:t>具有有效期内“</w:t>
            </w:r>
            <w:r>
              <w:rPr>
                <w:rFonts w:hint="eastAsia" w:ascii="宋体" w:hAnsi="宋体" w:eastAsia="宋体" w:cs="宋体"/>
                <w:color w:val="auto"/>
                <w:sz w:val="24"/>
                <w:szCs w:val="24"/>
                <w:highlight w:val="none"/>
                <w:lang w:val="en-US" w:eastAsia="zh-CN"/>
              </w:rPr>
              <w:t>产品防腐蚀认证</w:t>
            </w:r>
            <w:r>
              <w:rPr>
                <w:rFonts w:hint="eastAsia" w:ascii="宋体" w:hAnsi="宋体" w:eastAsia="宋体" w:cs="宋体"/>
                <w:color w:val="auto"/>
                <w:sz w:val="24"/>
                <w:szCs w:val="24"/>
                <w:highlight w:val="none"/>
              </w:rPr>
              <w:t>证书”的得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分，并书面承诺证书可在中国国家认证认可监督管理委员会网站(http://www.cnca.gov.cn) 或 中 国 合 格 评 定 国 家 认 可 委 员 会 (https://www.cnas.org.cn) 查询到，投标人须提供有效认证证书复印件及书面承诺函（格式自拟）并加盖公章，否则不得分。</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02EF85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1</w:t>
            </w:r>
          </w:p>
        </w:tc>
      </w:tr>
      <w:tr w14:paraId="2A4175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6D0919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6</w:t>
            </w:r>
          </w:p>
        </w:tc>
        <w:tc>
          <w:tcPr>
            <w:tcW w:w="7282" w:type="dxa"/>
            <w:tcBorders>
              <w:top w:val="single" w:color="auto" w:sz="4" w:space="0"/>
              <w:left w:val="single" w:color="auto" w:sz="4" w:space="0"/>
              <w:bottom w:val="single" w:color="auto" w:sz="4" w:space="0"/>
              <w:right w:val="single" w:color="auto" w:sz="4" w:space="0"/>
            </w:tcBorders>
            <w:noWrap w:val="0"/>
            <w:vAlign w:val="center"/>
          </w:tcPr>
          <w:p w14:paraId="1E1495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人所投产品制造商</w:t>
            </w:r>
            <w:r>
              <w:rPr>
                <w:rFonts w:hint="eastAsia" w:ascii="宋体" w:hAnsi="宋体" w:eastAsia="宋体" w:cs="宋体"/>
                <w:color w:val="auto"/>
                <w:sz w:val="24"/>
                <w:szCs w:val="24"/>
                <w:highlight w:val="none"/>
              </w:rPr>
              <w:t>具有有效期内“</w:t>
            </w:r>
            <w:r>
              <w:rPr>
                <w:rFonts w:hint="eastAsia" w:ascii="宋体" w:hAnsi="宋体" w:eastAsia="宋体" w:cs="宋体"/>
                <w:color w:val="auto"/>
                <w:sz w:val="24"/>
                <w:szCs w:val="24"/>
                <w:highlight w:val="none"/>
                <w:lang w:val="en-US" w:eastAsia="zh-CN"/>
              </w:rPr>
              <w:t>产品安全认证</w:t>
            </w:r>
            <w:r>
              <w:rPr>
                <w:rFonts w:hint="eastAsia" w:ascii="宋体" w:hAnsi="宋体" w:eastAsia="宋体" w:cs="宋体"/>
                <w:color w:val="auto"/>
                <w:sz w:val="24"/>
                <w:szCs w:val="24"/>
                <w:highlight w:val="none"/>
              </w:rPr>
              <w:t>证书”的得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分，并书面承诺证书可在中国国家认证认可监督管理委员会网站(http://www.cnca.gov.cn) 或 中 国 合 格 评 定 国 家 认 可 委 员 会 (https://www.cnas.org.cn) 查询到，投标人须提供有效认证证书复印件及书面承诺函（格式自拟）并加盖公章，否则不得分。</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5703AC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w:t>
            </w:r>
          </w:p>
        </w:tc>
      </w:tr>
      <w:tr w14:paraId="3ADCF8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5E5D25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2-7</w:t>
            </w:r>
          </w:p>
        </w:tc>
        <w:tc>
          <w:tcPr>
            <w:tcW w:w="7282" w:type="dxa"/>
            <w:tcBorders>
              <w:top w:val="single" w:color="auto" w:sz="4" w:space="0"/>
              <w:left w:val="single" w:color="auto" w:sz="4" w:space="0"/>
              <w:bottom w:val="single" w:color="auto" w:sz="4" w:space="0"/>
              <w:right w:val="single" w:color="auto" w:sz="4" w:space="0"/>
            </w:tcBorders>
            <w:noWrap w:val="0"/>
            <w:vAlign w:val="top"/>
          </w:tcPr>
          <w:p w14:paraId="1AA429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bidi="ar"/>
              </w:rPr>
              <w:t>根据投标人提供的货物进场及清退管理措施的方案进行评价：内容包含货物进场计划、对进场及退场可能涉及的难点进行分析、人员管理方案，完全满足上述全部内容的得2分；未完整提供的不得分。</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16D7AF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1AFFB9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13B267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2-9</w:t>
            </w:r>
          </w:p>
        </w:tc>
        <w:tc>
          <w:tcPr>
            <w:tcW w:w="7282" w:type="dxa"/>
            <w:tcBorders>
              <w:top w:val="single" w:color="auto" w:sz="4" w:space="0"/>
              <w:left w:val="single" w:color="auto" w:sz="4" w:space="0"/>
              <w:bottom w:val="single" w:color="auto" w:sz="4" w:space="0"/>
              <w:right w:val="single" w:color="auto" w:sz="4" w:space="0"/>
            </w:tcBorders>
            <w:noWrap w:val="0"/>
            <w:vAlign w:val="top"/>
          </w:tcPr>
          <w:p w14:paraId="399C2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根据投标人提供的售后维保方案（须</w:t>
            </w:r>
            <w:r>
              <w:rPr>
                <w:rFonts w:hint="eastAsia" w:ascii="宋体" w:hAnsi="宋体" w:eastAsia="宋体" w:cs="宋体"/>
                <w:color w:val="auto"/>
                <w:sz w:val="24"/>
                <w:szCs w:val="24"/>
                <w:highlight w:val="none"/>
                <w:lang w:val="en-US" w:eastAsia="zh-CN"/>
              </w:rPr>
              <w:t>包含</w:t>
            </w:r>
            <w:r>
              <w:rPr>
                <w:rFonts w:hint="eastAsia" w:ascii="宋体" w:hAnsi="宋体" w:eastAsia="宋体" w:cs="宋体"/>
                <w:color w:val="auto"/>
                <w:sz w:val="24"/>
                <w:szCs w:val="24"/>
                <w:highlight w:val="none"/>
              </w:rPr>
              <w:t>售后维保的内容、服务人员配备以及售后维保具体手段或工具）进行综合评价：方案描述详细、具体、明确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有相应的人力、物力投入安排，能够确保售后服务质量</w:t>
            </w:r>
            <w:r>
              <w:rPr>
                <w:rFonts w:hint="eastAsia" w:ascii="宋体" w:hAnsi="宋体" w:eastAsia="宋体" w:cs="宋体"/>
                <w:color w:val="auto"/>
                <w:sz w:val="24"/>
                <w:szCs w:val="24"/>
                <w:highlight w:val="none"/>
              </w:rPr>
              <w:t>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方案较为简单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对服务过程中的关键节点有提出基本的售后服务</w:t>
            </w:r>
            <w:r>
              <w:rPr>
                <w:rFonts w:hint="eastAsia" w:ascii="宋体" w:hAnsi="宋体" w:eastAsia="宋体" w:cs="宋体"/>
                <w:color w:val="auto"/>
                <w:sz w:val="24"/>
                <w:szCs w:val="24"/>
                <w:highlight w:val="none"/>
              </w:rPr>
              <w:t>的得</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分，未提供或不可行的不得分。</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41F0E8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w:t>
            </w:r>
          </w:p>
        </w:tc>
      </w:tr>
      <w:tr w14:paraId="437B3D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1A1C79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2-10</w:t>
            </w:r>
          </w:p>
        </w:tc>
        <w:tc>
          <w:tcPr>
            <w:tcW w:w="7282" w:type="dxa"/>
            <w:tcBorders>
              <w:top w:val="single" w:color="auto" w:sz="4" w:space="0"/>
              <w:left w:val="single" w:color="auto" w:sz="4" w:space="0"/>
              <w:bottom w:val="single" w:color="auto" w:sz="4" w:space="0"/>
              <w:right w:val="single" w:color="auto" w:sz="4" w:space="0"/>
            </w:tcBorders>
            <w:noWrap w:val="0"/>
            <w:vAlign w:val="center"/>
          </w:tcPr>
          <w:p w14:paraId="5D95A4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根据</w:t>
            </w: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lang w:val="en-US" w:eastAsia="zh-CN"/>
              </w:rPr>
              <w:t>从2022年1月1日至开标截止当日（以合同签订时间为准）家具项目</w:t>
            </w:r>
            <w:r>
              <w:rPr>
                <w:rFonts w:hint="eastAsia" w:ascii="宋体" w:hAnsi="宋体" w:eastAsia="宋体" w:cs="宋体"/>
                <w:color w:val="auto"/>
                <w:sz w:val="24"/>
                <w:szCs w:val="24"/>
                <w:highlight w:val="none"/>
              </w:rPr>
              <w:t>业绩经验进行</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每提供1份完整业绩得1分，本项满分</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业绩作为评分条件的，投标人须提供该业绩项目的中标（成交）公告（提供相关网站中标（成交）公告的下载网页的扫描件及其网址）、中标（成交）通知书扫描件、采购合同文本扫描件，以及能够证明该业绩项目已经</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验收合格的相关证明文件扫描件，原件备查；如未按招标文件要求提供该项业绩完整资料的，评标委员会对该项业绩将不予采信。】</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75EC3BE5">
            <w:pPr>
              <w:keepNext w:val="0"/>
              <w:keepLines w:val="0"/>
              <w:pageBreakBefore w:val="0"/>
              <w:widowControl w:val="0"/>
              <w:suppressLineNumbers w:val="0"/>
              <w:tabs>
                <w:tab w:val="left" w:pos="-1080"/>
                <w:tab w:val="left" w:pos="180"/>
                <w:tab w:val="left" w:pos="1080"/>
                <w:tab w:val="left" w:pos="2370"/>
              </w:tabs>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3</w:t>
            </w:r>
          </w:p>
        </w:tc>
      </w:tr>
    </w:tbl>
    <w:p w14:paraId="722A712D">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642FEEF6">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54ADD312">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14:paraId="0586DB86">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对其提供的小型或微型企业产品的投标报价给予20%的扣除，扣除后的价格作为该投标人的评标价参与价格评分。</w:t>
      </w:r>
    </w:p>
    <w:p w14:paraId="22F0052C">
      <w:pPr>
        <w:pStyle w:val="7"/>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0F9457E6">
      <w:pPr>
        <w:pStyle w:val="15"/>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0FC26D1B">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节能、环境标志产品价格扣除：</w:t>
      </w:r>
    </w:p>
    <w:p w14:paraId="10A00A51">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66CEE485">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52227086">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6C79B4E5">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272F2EF0">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0567835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3、</w:t>
      </w:r>
      <w:r>
        <w:rPr>
          <w:rStyle w:val="18"/>
          <w:rFonts w:hint="eastAsia" w:ascii="宋体" w:hAnsi="宋体" w:eastAsia="宋体" w:cs="宋体"/>
          <w:color w:val="auto"/>
          <w:kern w:val="2"/>
          <w:sz w:val="24"/>
          <w:szCs w:val="24"/>
          <w:highlight w:val="none"/>
        </w:rPr>
        <w:t>对本国产品的支持政策</w:t>
      </w:r>
      <w:r>
        <w:rPr>
          <w:rFonts w:hint="eastAsia" w:cs="宋体"/>
          <w:color w:val="auto"/>
          <w:kern w:val="2"/>
          <w:sz w:val="24"/>
          <w:szCs w:val="24"/>
          <w:highlight w:val="none"/>
          <w:lang w:eastAsia="zh-CN"/>
        </w:rPr>
        <w:t>：</w:t>
      </w:r>
    </w:p>
    <w:p w14:paraId="583AF78A">
      <w:pPr>
        <w:pStyle w:val="13"/>
        <w:widowControl/>
        <w:pBdr>
          <w:top w:val="none" w:color="auto" w:sz="0" w:space="0"/>
          <w:left w:val="none" w:color="auto" w:sz="0" w:space="0"/>
          <w:bottom w:val="none" w:color="auto" w:sz="0" w:space="0"/>
          <w:right w:val="none" w:color="auto" w:sz="0" w:space="0"/>
        </w:pBdr>
        <w:spacing w:before="24" w:beforeAutospacing="0" w:after="24"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564BD01B">
      <w:pPr>
        <w:pStyle w:val="13"/>
        <w:widowControl/>
        <w:pBdr>
          <w:top w:val="none" w:color="auto" w:sz="0" w:space="0"/>
          <w:left w:val="none" w:color="auto" w:sz="0" w:space="0"/>
          <w:bottom w:val="none" w:color="auto" w:sz="0" w:space="0"/>
          <w:right w:val="none" w:color="auto" w:sz="0" w:space="0"/>
        </w:pBdr>
        <w:spacing w:before="24" w:beforeAutospacing="0" w:after="24"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9CF0173">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5EE74CB2">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sz w:val="24"/>
          <w:szCs w:val="24"/>
          <w:highlight w:val="none"/>
          <w:lang w:eastAsia="zh-CN"/>
        </w:rPr>
        <w:t>异常低价审查</w:t>
      </w:r>
    </w:p>
    <w:p w14:paraId="55AC5FA6">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w:t>
      </w:r>
    </w:p>
    <w:p w14:paraId="48AB164E">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（1）投标报价低于全部通过符合性审查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p>
    <w:p w14:paraId="0BBD2E0C">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p>
    <w:p w14:paraId="116927CB">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p>
    <w:p w14:paraId="3CFAF5D1">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1AC7C0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p>
    <w:p w14:paraId="24EB5C12">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w:t>
      </w:r>
    </w:p>
    <w:p w14:paraId="7C95FBFB">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 为 。</w:t>
      </w:r>
    </w:p>
    <w:p w14:paraId="41C804DA">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3DEE3D2F">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4E2283BE">
      <w:pPr>
        <w:pStyle w:val="7"/>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3A0E2FB2">
      <w:pPr>
        <w:pStyle w:val="7"/>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验收合格的相关证明文件扫描件，原件备查；如未按招标文件要求提供该项业绩完整资料的，评标委员会对该项业绩将不予采信。</w:t>
      </w:r>
    </w:p>
    <w:p w14:paraId="09AE2B47">
      <w:pPr>
        <w:spacing w:line="360" w:lineRule="auto"/>
        <w:ind w:firstLine="1600" w:firstLineChars="500"/>
        <w:rPr>
          <w:rFonts w:hint="eastAsia" w:ascii="宋体" w:hAnsi="宋体" w:eastAsia="宋体" w:cs="宋体"/>
          <w:color w:val="auto"/>
          <w:sz w:val="32"/>
          <w:szCs w:val="32"/>
          <w:highlight w:val="none"/>
        </w:rPr>
      </w:pPr>
    </w:p>
    <w:p w14:paraId="73AFC5E7">
      <w:pPr>
        <w:spacing w:line="360" w:lineRule="auto"/>
        <w:ind w:firstLine="1600" w:firstLineChars="500"/>
        <w:rPr>
          <w:rFonts w:hint="eastAsia" w:ascii="宋体" w:hAnsi="宋体" w:eastAsia="宋体" w:cs="宋体"/>
          <w:color w:val="auto"/>
          <w:sz w:val="32"/>
          <w:szCs w:val="32"/>
          <w:highlight w:val="none"/>
        </w:rPr>
      </w:pPr>
    </w:p>
    <w:p w14:paraId="11D2630B">
      <w:pPr>
        <w:spacing w:line="360" w:lineRule="auto"/>
        <w:ind w:firstLine="1600" w:firstLineChars="500"/>
        <w:rPr>
          <w:rFonts w:hint="eastAsia" w:ascii="宋体" w:hAnsi="宋体" w:eastAsia="宋体" w:cs="宋体"/>
          <w:color w:val="auto"/>
          <w:sz w:val="32"/>
          <w:szCs w:val="32"/>
          <w:highlight w:val="none"/>
        </w:rPr>
      </w:pPr>
    </w:p>
    <w:p w14:paraId="4E331CA5">
      <w:pPr>
        <w:spacing w:line="360" w:lineRule="auto"/>
        <w:ind w:firstLine="1600" w:firstLineChars="500"/>
        <w:rPr>
          <w:rFonts w:hint="eastAsia" w:ascii="宋体" w:hAnsi="宋体" w:eastAsia="宋体" w:cs="宋体"/>
          <w:color w:val="auto"/>
          <w:sz w:val="32"/>
          <w:szCs w:val="32"/>
          <w:highlight w:val="none"/>
        </w:rPr>
      </w:pPr>
    </w:p>
    <w:p w14:paraId="34C6CB9D">
      <w:pPr>
        <w:spacing w:line="360" w:lineRule="auto"/>
        <w:ind w:firstLine="1600" w:firstLineChars="500"/>
        <w:rPr>
          <w:rFonts w:hint="eastAsia" w:ascii="宋体" w:hAnsi="宋体" w:eastAsia="宋体" w:cs="宋体"/>
          <w:color w:val="auto"/>
          <w:sz w:val="32"/>
          <w:szCs w:val="32"/>
          <w:highlight w:val="none"/>
        </w:rPr>
      </w:pPr>
    </w:p>
    <w:p w14:paraId="23E0FCB3">
      <w:pPr>
        <w:spacing w:line="360" w:lineRule="auto"/>
        <w:ind w:firstLine="1600" w:firstLineChars="500"/>
        <w:rPr>
          <w:rFonts w:hint="eastAsia" w:ascii="宋体" w:hAnsi="宋体" w:eastAsia="宋体" w:cs="宋体"/>
          <w:color w:val="auto"/>
          <w:sz w:val="32"/>
          <w:szCs w:val="32"/>
          <w:highlight w:val="none"/>
        </w:rPr>
        <w:sectPr>
          <w:footerReference r:id="rId7" w:type="default"/>
          <w:pgSz w:w="11907" w:h="16840"/>
          <w:pgMar w:top="1440" w:right="1752" w:bottom="1290" w:left="1752" w:header="851" w:footer="992" w:gutter="0"/>
          <w:pgNumType w:start="1"/>
          <w:cols w:space="720" w:num="1"/>
          <w:docGrid w:linePitch="323" w:charSpace="-2"/>
        </w:sectPr>
      </w:pPr>
    </w:p>
    <w:p w14:paraId="31E37E85">
      <w:pPr>
        <w:spacing w:line="360" w:lineRule="auto"/>
        <w:ind w:firstLine="1606" w:firstLineChars="50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投标人须知前附表4：中小企业优惠办法</w:t>
      </w:r>
    </w:p>
    <w:tbl>
      <w:tblPr>
        <w:tblStyle w:val="16"/>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27B5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72AD99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00FECD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4960E7A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7BA9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0AE39C7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13775C7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67BF072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否</w:t>
            </w:r>
          </w:p>
        </w:tc>
      </w:tr>
      <w:tr w14:paraId="3BD4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51E7F5E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5F841E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1EB68EC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53F493F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4306B37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093C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noWrap w:val="0"/>
            <w:vAlign w:val="center"/>
          </w:tcPr>
          <w:p w14:paraId="2590244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29870D39">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063" w:type="dxa"/>
            <w:tcBorders>
              <w:bottom w:val="single" w:color="auto" w:sz="4" w:space="0"/>
            </w:tcBorders>
            <w:noWrap w:val="0"/>
            <w:vAlign w:val="top"/>
          </w:tcPr>
          <w:p w14:paraId="7189483D">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26AC1C7E">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70CAB0DB">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00C1E304">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1CE8D4CE">
            <w:pPr>
              <w:keepNext w:val="0"/>
              <w:keepLines w:val="0"/>
              <w:suppressLineNumbers w:val="0"/>
              <w:spacing w:before="0" w:beforeAutospacing="0" w:after="0" w:afterAutospacing="0" w:line="360" w:lineRule="auto"/>
              <w:ind w:left="0" w:leftChars="0" w:right="0" w:firstLine="0" w:firstLineChars="0"/>
              <w:rPr>
                <w:rFonts w:hint="default" w:ascii="宋体" w:hAnsi="宋体" w:eastAsia="宋体" w:cs="宋体"/>
                <w:b w:val="0"/>
                <w:color w:val="auto"/>
                <w:spacing w:val="-4"/>
                <w:sz w:val="24"/>
                <w:szCs w:val="24"/>
                <w:highlight w:val="none"/>
              </w:rPr>
            </w:pPr>
          </w:p>
          <w:p w14:paraId="7BB39A40">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7F24FDD2">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4DACBD8F">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56C7C78B">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3F72C831">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073B955B">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p w14:paraId="17A60740">
            <w:pPr>
              <w:keepNext w:val="0"/>
              <w:keepLines w:val="0"/>
              <w:suppressLineNumbers w:val="0"/>
              <w:spacing w:before="0" w:beforeAutospacing="0" w:after="0" w:afterAutospacing="0"/>
              <w:ind w:left="-65" w:leftChars="-31" w:right="0" w:firstLine="475" w:firstLineChars="205"/>
              <w:rPr>
                <w:rFonts w:hint="eastAsia" w:ascii="宋体" w:hAnsi="宋体" w:eastAsia="宋体" w:cs="宋体"/>
                <w:color w:val="auto"/>
                <w:spacing w:val="-4"/>
                <w:sz w:val="24"/>
                <w:szCs w:val="24"/>
                <w:highlight w:val="none"/>
              </w:rPr>
            </w:pPr>
          </w:p>
        </w:tc>
      </w:tr>
      <w:tr w14:paraId="1FB53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381335D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44F18187">
            <w:pPr>
              <w:pStyle w:val="13"/>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ascii="宋体" w:hAnsi="宋体" w:eastAsia="宋体" w:cs="宋体"/>
                <w:color w:val="auto"/>
                <w:sz w:val="24"/>
                <w:szCs w:val="24"/>
                <w:highlight w:val="none"/>
                <w:u w:val="single"/>
              </w:rPr>
              <w:t xml:space="preserve"> </w:t>
            </w:r>
            <w:r>
              <w:rPr>
                <w:rFonts w:hint="eastAsia" w:ascii="宋体" w:hAnsi="宋体" w:eastAsia="宋体" w:cs="宋体"/>
                <w:b/>
                <w:bCs/>
                <w:color w:val="auto"/>
                <w:sz w:val="24"/>
                <w:szCs w:val="24"/>
                <w:highlight w:val="none"/>
              </w:rPr>
              <w:t>工业</w:t>
            </w:r>
            <w:r>
              <w:rPr>
                <w:rFonts w:hint="eastAsia" w:ascii="宋体" w:hAnsi="宋体" w:eastAsia="宋体" w:cs="宋体"/>
                <w:color w:val="auto"/>
                <w:sz w:val="24"/>
                <w:szCs w:val="24"/>
                <w:highlight w:val="none"/>
                <w:u w:val="single"/>
              </w:rPr>
              <w:t xml:space="preserve">   行业。</w:t>
            </w:r>
          </w:p>
        </w:tc>
        <w:tc>
          <w:tcPr>
            <w:tcW w:w="6063" w:type="dxa"/>
            <w:tcBorders>
              <w:bottom w:val="single" w:color="auto" w:sz="4" w:space="0"/>
            </w:tcBorders>
            <w:noWrap w:val="0"/>
            <w:vAlign w:val="top"/>
          </w:tcPr>
          <w:p w14:paraId="3CC4C907">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144F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0911D57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6560150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2A7DDAA3">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61E425D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06EFC6C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3DB0E41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49FC3432">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4C2230C2">
      <w:pPr>
        <w:spacing w:line="360" w:lineRule="auto"/>
        <w:ind w:firstLine="482" w:firstLineChars="200"/>
        <w:rPr>
          <w:rFonts w:hint="eastAsia" w:ascii="宋体" w:hAnsi="宋体" w:eastAsia="宋体" w:cs="宋体"/>
          <w:b/>
          <w:bCs/>
          <w:color w:val="auto"/>
          <w:sz w:val="24"/>
          <w:szCs w:val="24"/>
          <w:highlight w:val="none"/>
        </w:rPr>
        <w:sectPr>
          <w:pgSz w:w="11907" w:h="16840"/>
          <w:pgMar w:top="1440" w:right="1752" w:bottom="1290" w:left="1752" w:header="851" w:footer="992" w:gutter="0"/>
          <w:pgNumType w:start="1"/>
          <w:cols w:space="720" w:num="1"/>
          <w:docGrid w:linePitch="323" w:charSpace="-2"/>
        </w:sectPr>
      </w:pPr>
    </w:p>
    <w:p w14:paraId="45969784">
      <w:pPr>
        <w:pStyle w:val="3"/>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64234A35">
      <w:pPr>
        <w:pStyle w:val="8"/>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6D387341">
      <w:pPr>
        <w:pStyle w:val="8"/>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”号条款进行逐条响应，否则评标委员会对其投标做出不利评审，投标人必须自行承担责任。</w:t>
      </w:r>
    </w:p>
    <w:p w14:paraId="02628ECD">
      <w:pPr>
        <w:pStyle w:val="8"/>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4CEEA6F3">
      <w:pPr>
        <w:pStyle w:val="8"/>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700F4448">
      <w:pPr>
        <w:pStyle w:val="8"/>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1DC888E4">
      <w:pPr>
        <w:pStyle w:val="8"/>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33A76B9D">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42C8DCA0">
      <w:pPr>
        <w:tabs>
          <w:tab w:val="left" w:pos="5130"/>
        </w:tabs>
        <w:spacing w:line="360" w:lineRule="auto"/>
        <w:ind w:firstLine="480" w:firstLineChars="200"/>
        <w:rPr>
          <w:rFonts w:hint="eastAsia" w:ascii="宋体" w:hAnsi="宋体" w:eastAsia="宋体" w:cs="宋体"/>
          <w:color w:val="auto"/>
          <w:sz w:val="24"/>
          <w:szCs w:val="24"/>
          <w:highlight w:val="none"/>
        </w:rPr>
      </w:pPr>
    </w:p>
    <w:p w14:paraId="40B202DC">
      <w:pPr>
        <w:tabs>
          <w:tab w:val="left" w:pos="5130"/>
        </w:tabs>
        <w:spacing w:line="360" w:lineRule="auto"/>
        <w:ind w:firstLine="480" w:firstLineChars="200"/>
        <w:rPr>
          <w:rFonts w:hint="eastAsia" w:ascii="宋体" w:hAnsi="宋体" w:eastAsia="宋体" w:cs="宋体"/>
          <w:color w:val="auto"/>
          <w:sz w:val="24"/>
          <w:szCs w:val="24"/>
          <w:highlight w:val="none"/>
        </w:rPr>
      </w:pPr>
    </w:p>
    <w:p w14:paraId="07DA6B81">
      <w:pPr>
        <w:tabs>
          <w:tab w:val="left" w:pos="5130"/>
        </w:tabs>
        <w:spacing w:line="360" w:lineRule="auto"/>
        <w:ind w:firstLine="480" w:firstLineChars="200"/>
        <w:rPr>
          <w:rFonts w:hint="eastAsia" w:ascii="宋体" w:hAnsi="宋体" w:eastAsia="宋体" w:cs="宋体"/>
          <w:color w:val="auto"/>
          <w:sz w:val="24"/>
          <w:szCs w:val="24"/>
          <w:highlight w:val="none"/>
        </w:rPr>
      </w:pPr>
    </w:p>
    <w:p w14:paraId="0FE58DAA">
      <w:pPr>
        <w:tabs>
          <w:tab w:val="left" w:pos="5130"/>
        </w:tabs>
        <w:spacing w:line="360" w:lineRule="auto"/>
        <w:ind w:firstLine="480" w:firstLineChars="200"/>
        <w:rPr>
          <w:rFonts w:hint="eastAsia" w:ascii="宋体" w:hAnsi="宋体" w:eastAsia="宋体" w:cs="宋体"/>
          <w:color w:val="auto"/>
          <w:sz w:val="24"/>
          <w:szCs w:val="24"/>
          <w:highlight w:val="none"/>
        </w:rPr>
      </w:pPr>
    </w:p>
    <w:p w14:paraId="20096726">
      <w:pPr>
        <w:tabs>
          <w:tab w:val="left" w:pos="5130"/>
        </w:tabs>
        <w:spacing w:line="360" w:lineRule="auto"/>
        <w:ind w:firstLine="480" w:firstLineChars="200"/>
        <w:rPr>
          <w:rFonts w:hint="eastAsia" w:ascii="宋体" w:hAnsi="宋体" w:eastAsia="宋体" w:cs="宋体"/>
          <w:color w:val="auto"/>
          <w:sz w:val="24"/>
          <w:szCs w:val="24"/>
          <w:highlight w:val="none"/>
        </w:rPr>
      </w:pPr>
    </w:p>
    <w:p w14:paraId="5C0D4C3B">
      <w:pPr>
        <w:tabs>
          <w:tab w:val="left" w:pos="5130"/>
        </w:tabs>
        <w:spacing w:line="360" w:lineRule="auto"/>
        <w:ind w:firstLine="480" w:firstLineChars="200"/>
        <w:rPr>
          <w:rFonts w:hint="eastAsia" w:ascii="宋体" w:hAnsi="宋体" w:eastAsia="宋体" w:cs="宋体"/>
          <w:color w:val="auto"/>
          <w:sz w:val="24"/>
          <w:szCs w:val="24"/>
          <w:highlight w:val="none"/>
        </w:rPr>
      </w:pPr>
    </w:p>
    <w:p w14:paraId="4606DF4B">
      <w:pPr>
        <w:tabs>
          <w:tab w:val="left" w:pos="5130"/>
        </w:tabs>
        <w:spacing w:line="360" w:lineRule="auto"/>
        <w:ind w:firstLine="480" w:firstLineChars="200"/>
        <w:rPr>
          <w:rFonts w:hint="eastAsia" w:ascii="宋体" w:hAnsi="宋体" w:eastAsia="宋体" w:cs="宋体"/>
          <w:color w:val="auto"/>
          <w:sz w:val="24"/>
          <w:szCs w:val="24"/>
          <w:highlight w:val="none"/>
        </w:rPr>
      </w:pPr>
    </w:p>
    <w:p w14:paraId="30F1F941">
      <w:pPr>
        <w:tabs>
          <w:tab w:val="left" w:pos="5130"/>
        </w:tabs>
        <w:spacing w:line="360" w:lineRule="auto"/>
        <w:ind w:firstLine="480" w:firstLineChars="200"/>
        <w:rPr>
          <w:rFonts w:hint="eastAsia" w:ascii="宋体" w:hAnsi="宋体" w:eastAsia="宋体" w:cs="宋体"/>
          <w:color w:val="auto"/>
          <w:sz w:val="24"/>
          <w:szCs w:val="24"/>
          <w:highlight w:val="none"/>
        </w:rPr>
      </w:pPr>
    </w:p>
    <w:p w14:paraId="3BC82362">
      <w:pPr>
        <w:tabs>
          <w:tab w:val="left" w:pos="5130"/>
        </w:tabs>
        <w:spacing w:line="360" w:lineRule="auto"/>
        <w:ind w:firstLine="480" w:firstLineChars="200"/>
        <w:rPr>
          <w:rFonts w:hint="eastAsia" w:ascii="宋体" w:hAnsi="宋体" w:eastAsia="宋体" w:cs="宋体"/>
          <w:color w:val="auto"/>
          <w:sz w:val="24"/>
          <w:szCs w:val="24"/>
          <w:highlight w:val="none"/>
        </w:rPr>
      </w:pPr>
    </w:p>
    <w:p w14:paraId="6C65A8E0">
      <w:pPr>
        <w:tabs>
          <w:tab w:val="left" w:pos="5130"/>
        </w:tabs>
        <w:spacing w:line="360" w:lineRule="auto"/>
        <w:ind w:firstLine="480" w:firstLineChars="200"/>
        <w:rPr>
          <w:rFonts w:hint="eastAsia" w:ascii="宋体" w:hAnsi="宋体" w:eastAsia="宋体" w:cs="宋体"/>
          <w:color w:val="auto"/>
          <w:sz w:val="24"/>
          <w:szCs w:val="24"/>
          <w:highlight w:val="none"/>
        </w:rPr>
      </w:pPr>
    </w:p>
    <w:p w14:paraId="7DBFD3F9">
      <w:pPr>
        <w:tabs>
          <w:tab w:val="left" w:pos="5130"/>
        </w:tabs>
        <w:spacing w:line="360" w:lineRule="auto"/>
        <w:ind w:firstLine="480" w:firstLineChars="200"/>
        <w:rPr>
          <w:rFonts w:hint="eastAsia" w:ascii="宋体" w:hAnsi="宋体" w:eastAsia="宋体" w:cs="宋体"/>
          <w:color w:val="auto"/>
          <w:sz w:val="24"/>
          <w:szCs w:val="24"/>
          <w:highlight w:val="none"/>
        </w:rPr>
      </w:pPr>
    </w:p>
    <w:p w14:paraId="1666C77F">
      <w:pPr>
        <w:tabs>
          <w:tab w:val="left" w:pos="5130"/>
        </w:tabs>
        <w:spacing w:line="360" w:lineRule="auto"/>
        <w:ind w:firstLine="480" w:firstLineChars="200"/>
        <w:rPr>
          <w:rFonts w:hint="eastAsia" w:ascii="宋体" w:hAnsi="宋体" w:eastAsia="宋体" w:cs="宋体"/>
          <w:color w:val="auto"/>
          <w:sz w:val="24"/>
          <w:szCs w:val="24"/>
          <w:highlight w:val="none"/>
        </w:rPr>
      </w:pPr>
    </w:p>
    <w:p w14:paraId="3B68E0C4">
      <w:pPr>
        <w:tabs>
          <w:tab w:val="left" w:pos="5130"/>
        </w:tabs>
        <w:spacing w:line="360" w:lineRule="auto"/>
        <w:ind w:firstLine="480" w:firstLineChars="200"/>
        <w:rPr>
          <w:rFonts w:hint="eastAsia" w:ascii="宋体" w:hAnsi="宋体" w:eastAsia="宋体" w:cs="宋体"/>
          <w:color w:val="auto"/>
          <w:sz w:val="24"/>
          <w:szCs w:val="24"/>
          <w:highlight w:val="none"/>
        </w:rPr>
      </w:pPr>
    </w:p>
    <w:p w14:paraId="51900E52">
      <w:pPr>
        <w:pStyle w:val="46"/>
        <w:spacing w:line="360" w:lineRule="auto"/>
        <w:jc w:val="both"/>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一、项目概况（采购标的）</w:t>
      </w:r>
    </w:p>
    <w:p w14:paraId="2D90A24D">
      <w:pPr>
        <w:pStyle w:val="46"/>
        <w:spacing w:line="360" w:lineRule="auto"/>
        <w:ind w:right="30" w:firstLine="588"/>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1.采购内容（详见附件一采购清单,详见附件二样品清单及说明）。</w:t>
      </w:r>
    </w:p>
    <w:p w14:paraId="4921E6F1">
      <w:pPr>
        <w:pStyle w:val="46"/>
        <w:spacing w:line="360" w:lineRule="auto"/>
        <w:ind w:firstLine="481"/>
        <w:jc w:val="both"/>
        <w:rPr>
          <w:rFonts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2</w:t>
      </w:r>
      <w:r>
        <w:rPr>
          <w:rFonts w:ascii="宋体" w:hAnsi="宋体" w:eastAsia="宋体" w:cs="宋体"/>
          <w:b w:val="0"/>
          <w:bCs/>
          <w:color w:val="auto"/>
          <w:sz w:val="24"/>
          <w:szCs w:val="24"/>
          <w:highlight w:val="none"/>
        </w:rPr>
        <w:t>.上述清单中的家具需与学校现有的办公家具配套，颜色、款式、质量由投标人提供，经</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验收合格同意后方可生产供应，投标人不得提出任何异议。</w:t>
      </w:r>
    </w:p>
    <w:p w14:paraId="25294A47">
      <w:pPr>
        <w:pStyle w:val="46"/>
        <w:spacing w:line="360" w:lineRule="auto"/>
        <w:ind w:firstLine="481"/>
        <w:jc w:val="both"/>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r>
        <w:rPr>
          <w:rFonts w:hint="eastAsia" w:ascii="Times New Roman" w:hAnsi="Times New Roman" w:eastAsia="宋体" w:cs="宋体"/>
          <w:color w:val="auto"/>
          <w:kern w:val="2"/>
          <w:sz w:val="24"/>
          <w:szCs w:val="24"/>
          <w:highlight w:val="none"/>
          <w:lang w:val="en-US" w:eastAsia="zh-CN" w:bidi="ar-SA"/>
        </w:rPr>
        <w:t>核心产品：</w:t>
      </w:r>
      <w:r>
        <w:rPr>
          <w:rFonts w:hint="eastAsia" w:ascii="Times New Roman" w:hAnsi="Times New Roman" w:eastAsia="宋体" w:cs="宋体"/>
          <w:b/>
          <w:bCs/>
          <w:color w:val="auto"/>
          <w:kern w:val="2"/>
          <w:sz w:val="24"/>
          <w:szCs w:val="24"/>
          <w:highlight w:val="none"/>
          <w:lang w:val="en-US" w:eastAsia="zh-CN" w:bidi="ar-SA"/>
        </w:rPr>
        <w:t>2.0米上下双层床</w:t>
      </w:r>
      <w:r>
        <w:rPr>
          <w:rFonts w:hint="eastAsia" w:ascii="Times New Roman" w:hAnsi="Times New Roman" w:eastAsia="宋体" w:cs="宋体"/>
          <w:color w:val="auto"/>
          <w:kern w:val="2"/>
          <w:sz w:val="24"/>
          <w:szCs w:val="24"/>
          <w:highlight w:val="none"/>
          <w:lang w:val="en-US" w:eastAsia="zh-CN" w:bidi="ar-SA"/>
        </w:rPr>
        <w:t>。</w:t>
      </w:r>
    </w:p>
    <w:p w14:paraId="3DABE3CE">
      <w:pPr>
        <w:pStyle w:val="46"/>
        <w:spacing w:line="360" w:lineRule="auto"/>
        <w:ind w:firstLine="0"/>
        <w:jc w:val="both"/>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二、技术和服务要求（以“★”标示的内容为不允许负偏离的实质性要求）</w:t>
      </w:r>
    </w:p>
    <w:p w14:paraId="18D530E6">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1．中标供应商生产前提供具体图纸供</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确认方可生产，价格不得调整。</w:t>
      </w:r>
    </w:p>
    <w:p w14:paraId="7FD95338">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2．投标人应严格按照采购文件的规格、数量、技术及材质等要求进行报价。</w:t>
      </w:r>
    </w:p>
    <w:p w14:paraId="1B266CAE">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3．投标人应在投标文件中提供主要生产设备清单（需提供主要生产加工设备、产地、数量、价值）。</w:t>
      </w:r>
    </w:p>
    <w:p w14:paraId="387C9AD8">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4．投标人应在投标文件中提供质量管理、技术力量说明（主要生产技术骨干、质管人员的数量和职称）。</w:t>
      </w:r>
    </w:p>
    <w:p w14:paraId="60809202">
      <w:pPr>
        <w:spacing w:line="360" w:lineRule="auto"/>
        <w:ind w:firstLine="480" w:firstLineChars="200"/>
        <w:rPr>
          <w:rFonts w:ascii="宋体" w:hAnsi="宋体" w:eastAsia="宋体" w:cs="宋体"/>
          <w:color w:val="auto"/>
          <w:sz w:val="24"/>
          <w:szCs w:val="24"/>
          <w:highlight w:val="none"/>
        </w:rPr>
      </w:pPr>
      <w:r>
        <w:rPr>
          <w:rFonts w:ascii="宋体" w:hAnsi="宋体" w:eastAsia="宋体" w:cs="宋体"/>
          <w:b w:val="0"/>
          <w:bCs/>
          <w:color w:val="auto"/>
          <w:sz w:val="24"/>
          <w:szCs w:val="24"/>
          <w:highlight w:val="none"/>
        </w:rPr>
        <w:t>5．投标人应根据国家标准</w:t>
      </w:r>
      <w:r>
        <w:rPr>
          <w:rFonts w:hint="eastAsia" w:ascii="宋体" w:hAnsi="宋体" w:eastAsia="宋体" w:cs="宋体"/>
          <w:b w:val="0"/>
          <w:bCs/>
          <w:color w:val="auto"/>
          <w:sz w:val="24"/>
          <w:szCs w:val="24"/>
          <w:highlight w:val="none"/>
          <w:lang w:eastAsia="zh-CN"/>
        </w:rPr>
        <w:t>：</w:t>
      </w:r>
      <w:r>
        <w:rPr>
          <w:rFonts w:ascii="宋体" w:hAnsi="宋体" w:eastAsia="宋体" w:cs="宋体"/>
          <w:color w:val="auto"/>
          <w:sz w:val="24"/>
          <w:szCs w:val="24"/>
          <w:highlight w:val="none"/>
        </w:rPr>
        <w:t>符合相关国家、行业等标准，包括但不限于以下标准：</w:t>
      </w:r>
    </w:p>
    <w:p w14:paraId="0296EC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18581《木器涂料中有害物质限量》</w:t>
      </w:r>
    </w:p>
    <w:p w14:paraId="4DF28E7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HG/T 2006《热固性粉末涂料》</w:t>
      </w:r>
    </w:p>
    <w:p w14:paraId="5F30E5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4071 《课桌椅》</w:t>
      </w:r>
    </w:p>
    <w:p w14:paraId="490461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35607 《绿色产品评价 家具》</w:t>
      </w:r>
    </w:p>
    <w:p w14:paraId="285F02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20286《公共场所阻燃制品及组件燃烧性能要求和标识》</w:t>
      </w:r>
    </w:p>
    <w:p w14:paraId="1AAD18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2280 《办公家具办公椅》</w:t>
      </w:r>
    </w:p>
    <w:p w14:paraId="7CE3DB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GB/T3325 《金属家具通用技术条件》</w:t>
      </w:r>
    </w:p>
    <w:p w14:paraId="2510E1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18584《室内装饰装修材料 木家具中有害物质限量》</w:t>
      </w:r>
    </w:p>
    <w:p w14:paraId="6389F34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GB/T11718《中密度纤维板》</w:t>
      </w:r>
    </w:p>
    <w:p w14:paraId="3D051A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GB/T4897《刨花板》</w:t>
      </w:r>
    </w:p>
    <w:p w14:paraId="462B8B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GB/T9846《普通胶合板》</w:t>
      </w:r>
    </w:p>
    <w:p w14:paraId="70996D8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GB18580</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《室内装饰装修材料 人造板及其制品中甲醛释放限量》</w:t>
      </w:r>
    </w:p>
    <w:p w14:paraId="2B189C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GB/T39600《人造板及其制品甲醛释放量分级》</w:t>
      </w:r>
    </w:p>
    <w:p w14:paraId="33528F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GB/T35601《绿色产品评价 人造板和木质地板》</w:t>
      </w:r>
    </w:p>
    <w:p w14:paraId="748525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JC/T2039</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《抗菌防霉木质装饰板》</w:t>
      </w:r>
    </w:p>
    <w:p w14:paraId="4CE4AE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2280 《办公家具办公椅》</w:t>
      </w:r>
    </w:p>
    <w:p w14:paraId="6A88B3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4463《家具用封边条技术要求》</w:t>
      </w:r>
    </w:p>
    <w:p w14:paraId="3D44E5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18583 《室内装饰装修材料 胶粘剂中有害物质限量》</w:t>
      </w:r>
    </w:p>
    <w:p w14:paraId="0932C4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2189《家具五金  杯状暗铰链》</w:t>
      </w:r>
    </w:p>
    <w:p w14:paraId="2DFF45D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3827《轻工产品金属镀层和化学处理层的耐腐蚀试验方法 乙酸盐雾试验(ASS)法》</w:t>
      </w:r>
    </w:p>
    <w:p w14:paraId="74A088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3832《轻工产品金属镀层腐蚀试验结果的评价》</w:t>
      </w:r>
    </w:p>
    <w:p w14:paraId="772825B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5619 《转椅底盘》</w:t>
      </w:r>
    </w:p>
    <w:p w14:paraId="01CA3C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QB/T 1952.2《软体家具 弹簧软床垫》</w:t>
      </w:r>
    </w:p>
    <w:p w14:paraId="31081E1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32487《塑料家具通用技术条件》</w:t>
      </w:r>
    </w:p>
    <w:p w14:paraId="2C7746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28481《塑料家具中有害物质限量》</w:t>
      </w:r>
    </w:p>
    <w:p w14:paraId="5CBF9E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39600《人造板及其制品甲醛释放量分级》</w:t>
      </w:r>
    </w:p>
    <w:p w14:paraId="65897C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24821《餐桌餐椅》</w:t>
      </w:r>
    </w:p>
    <w:p w14:paraId="5332FB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GB/T3324《木家具通用技术条件》</w:t>
      </w:r>
    </w:p>
    <w:p w14:paraId="46814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GB/T28203《家具用连接件技术要求及试验方法》</w:t>
      </w:r>
    </w:p>
    <w:p w14:paraId="22C779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10802《通用软质聚醚型聚氨酯泡沫塑料》</w:t>
      </w:r>
    </w:p>
    <w:p w14:paraId="700EFA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GB/T6343《泡沫塑料及橡胶 表观密度的测定》</w:t>
      </w:r>
    </w:p>
    <w:p w14:paraId="6608C4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GB/T6344《软质泡沫聚合材料拉伸强度和断裂伸长率的测定》</w:t>
      </w:r>
    </w:p>
    <w:p w14:paraId="32F790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6669《软质泡沫聚合材料压缩永久变形的测定》</w:t>
      </w:r>
    </w:p>
    <w:p w14:paraId="52A3E2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ASTM G21 《合成聚合材料防霉性的测定》</w:t>
      </w:r>
    </w:p>
    <w:p w14:paraId="5CB46274">
      <w:pP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ISO 22196 《塑料制品表面抗菌性能评价方法》</w:t>
      </w:r>
      <w:r>
        <w:rPr>
          <w:rFonts w:hint="eastAsia" w:ascii="宋体" w:hAnsi="宋体" w:eastAsia="宋体" w:cs="宋体"/>
          <w:b w:val="0"/>
          <w:bCs w:val="0"/>
          <w:color w:val="auto"/>
          <w:sz w:val="24"/>
          <w:szCs w:val="24"/>
          <w:highlight w:val="none"/>
        </w:rPr>
        <w:t>制作，并在设计方案中详细说明家具的材料构成及辅材、配件(如材质、质量标准、厚度、产地、品牌、型号等)。</w:t>
      </w:r>
    </w:p>
    <w:p w14:paraId="6EBDF85B">
      <w:p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注：上述标准若有更新，则以更新后的国家和部门标准执行。</w:t>
      </w:r>
    </w:p>
    <w:p w14:paraId="59147D1A">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6．投标人需在投标文件中提供上述货物的实物图、效果图、生产分解图、货物选用材料的说明文件。图号所指货物详见采购文件所附图纸，投标人应自行到现场进行测量。</w:t>
      </w:r>
    </w:p>
    <w:p w14:paraId="51242466">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7．投标人需将以上货物的参考指标与所报货物的技术指标、参数，在投标文件中分别列出，一一对应。</w:t>
      </w:r>
    </w:p>
    <w:p w14:paraId="5429D51F">
      <w:pPr>
        <w:pStyle w:val="4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★8.投标人在递交投标文件时应提供以下样品：按附件二的要求提供样品</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不接受3D打印或雕刻加工</w:t>
      </w:r>
      <w:r>
        <w:rPr>
          <w:rFonts w:hint="eastAsia" w:ascii="宋体" w:hAnsi="宋体" w:eastAsia="宋体" w:cs="宋体"/>
          <w:b/>
          <w:color w:val="auto"/>
          <w:sz w:val="24"/>
          <w:szCs w:val="24"/>
          <w:highlight w:val="none"/>
          <w:lang w:eastAsia="zh-CN"/>
        </w:rPr>
        <w:t>）</w:t>
      </w:r>
      <w:r>
        <w:rPr>
          <w:rFonts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提供的样品不符合采购内容参数及结构图纸要求的或未提供样品或提供样品不齐全的，按无效投标处理。</w:t>
      </w:r>
    </w:p>
    <w:p w14:paraId="2F327362">
      <w:pPr>
        <w:pStyle w:val="46"/>
        <w:spacing w:line="360" w:lineRule="auto"/>
        <w:ind w:firstLine="470"/>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9.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w:t>
      </w:r>
      <w:r>
        <w:rPr>
          <w:rFonts w:hint="eastAsia" w:ascii="宋体" w:hAnsi="宋体" w:eastAsia="宋体" w:cs="宋体"/>
          <w:b/>
          <w:color w:val="auto"/>
          <w:sz w:val="24"/>
          <w:szCs w:val="24"/>
          <w:highlight w:val="none"/>
          <w:lang w:val="en-US" w:eastAsia="zh-CN"/>
        </w:rPr>
        <w:t>投标</w:t>
      </w:r>
      <w:r>
        <w:rPr>
          <w:rFonts w:ascii="宋体" w:hAnsi="宋体" w:eastAsia="宋体" w:cs="宋体"/>
          <w:b/>
          <w:color w:val="auto"/>
          <w:sz w:val="24"/>
          <w:szCs w:val="24"/>
          <w:highlight w:val="none"/>
        </w:rPr>
        <w:t>截止时间前，送至</w:t>
      </w:r>
      <w:r>
        <w:rPr>
          <w:rFonts w:ascii="宋体" w:hAnsi="宋体" w:eastAsia="宋体" w:cs="宋体"/>
          <w:b/>
          <w:color w:val="auto"/>
          <w:sz w:val="24"/>
          <w:szCs w:val="24"/>
          <w:highlight w:val="none"/>
          <w:u w:val="single"/>
        </w:rPr>
        <w:t>厦门市湖里区云顶北路842号厦门市政务服务中心负一楼样品间</w:t>
      </w:r>
      <w:r>
        <w:rPr>
          <w:rFonts w:ascii="宋体" w:hAnsi="宋体" w:eastAsia="宋体" w:cs="宋体"/>
          <w:b/>
          <w:color w:val="auto"/>
          <w:sz w:val="24"/>
          <w:szCs w:val="24"/>
          <w:highlight w:val="none"/>
        </w:rPr>
        <w:t>。</w:t>
      </w:r>
    </w:p>
    <w:p w14:paraId="08ADE189">
      <w:pPr>
        <w:pStyle w:val="46"/>
        <w:spacing w:line="360" w:lineRule="auto"/>
        <w:ind w:firstLine="470"/>
        <w:jc w:val="left"/>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4A003545">
      <w:pPr>
        <w:pStyle w:val="46"/>
        <w:spacing w:line="360" w:lineRule="auto"/>
        <w:ind w:firstLine="470"/>
        <w:jc w:val="left"/>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1.</w:t>
      </w:r>
      <w:r>
        <w:rPr>
          <w:rFonts w:ascii="宋体" w:hAnsi="宋体" w:eastAsia="宋体" w:cs="宋体"/>
          <w:b/>
          <w:color w:val="auto"/>
          <w:sz w:val="24"/>
          <w:szCs w:val="24"/>
          <w:highlight w:val="none"/>
        </w:rPr>
        <w:t>投标人提供的成品样需在投标截止时间前，在样品室摆放到位。</w:t>
      </w:r>
    </w:p>
    <w:p w14:paraId="1D01409E">
      <w:pPr>
        <w:pStyle w:val="46"/>
        <w:spacing w:line="360" w:lineRule="auto"/>
        <w:ind w:firstLine="481"/>
        <w:jc w:val="both"/>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2.由于市行政服务中心地下停车库不让限高&gt;2米车辆进入，因此送样品的车辆限高≦2米。不遵守此规定，后果自负。</w:t>
      </w:r>
    </w:p>
    <w:p w14:paraId="06978D61">
      <w:pPr>
        <w:pStyle w:val="46"/>
        <w:spacing w:line="360" w:lineRule="auto"/>
        <w:ind w:firstLine="482"/>
        <w:jc w:val="both"/>
        <w:rPr>
          <w:rFonts w:ascii="宋体" w:hAnsi="宋体" w:eastAsia="宋体" w:cs="宋体"/>
          <w:color w:val="auto"/>
          <w:sz w:val="24"/>
          <w:szCs w:val="24"/>
          <w:highlight w:val="none"/>
        </w:rPr>
      </w:pPr>
    </w:p>
    <w:p w14:paraId="0D3243DF">
      <w:pPr>
        <w:pStyle w:val="46"/>
        <w:spacing w:line="360" w:lineRule="auto"/>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shd w:val="clear" w:fill="FFFFFF"/>
        </w:rPr>
        <w:t>三、商务响应要求</w:t>
      </w:r>
    </w:p>
    <w:p w14:paraId="1FEE7ECE">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投标人应在投标文件中提供最近三年来在中国，类似项目的合同业绩证明材料（提供项目中标公告或中标通知书及合同复印件等，加盖单位公章，原件备查），需提供项目名称、合同金额、中标日期、联系人、用户反馈意见。</w:t>
      </w:r>
    </w:p>
    <w:p w14:paraId="218B7C91">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2.投标人应在投标文件中书面承诺自身已经具备自行生产所报价的全系列产品的能力。</w:t>
      </w:r>
    </w:p>
    <w:p w14:paraId="522122AF">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3.投标人应在投标文件中提供近三年以来地级市以上质量检测单位出具的成品抽样检测报告。</w:t>
      </w:r>
    </w:p>
    <w:p w14:paraId="79FF54D1">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4.投标人应在投标文件中提供生产合同管理计划保证书一份。</w:t>
      </w:r>
    </w:p>
    <w:p w14:paraId="522077AA">
      <w:pPr>
        <w:pStyle w:val="46"/>
        <w:spacing w:line="360" w:lineRule="auto"/>
        <w:ind w:left="-180" w:right="360" w:firstLine="361"/>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四、货物质量标准、验收标准</w:t>
      </w:r>
    </w:p>
    <w:p w14:paraId="366A0962">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1．投标人提供货物的制造标准、安装标准、验收标准及技术规范等有关资料应符合国家规定的有关标准、规范要求。</w:t>
      </w:r>
    </w:p>
    <w:p w14:paraId="1DCACBF1">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2．投标人应保证提供原产、正宗品牌货物，不得用伪劣货物替代；如出现上述质量问题</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有权退货并解除合同。</w:t>
      </w:r>
    </w:p>
    <w:p w14:paraId="213CF8FA">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3．在生产过程或验收过程中发现中标供应商对</w:t>
      </w:r>
      <w:r>
        <w:rPr>
          <w:rFonts w:hint="eastAsia" w:ascii="宋体" w:hAnsi="宋体" w:eastAsia="宋体" w:cs="宋体"/>
          <w:b w:val="0"/>
          <w:bCs/>
          <w:color w:val="auto"/>
          <w:sz w:val="24"/>
          <w:szCs w:val="24"/>
          <w:highlight w:val="none"/>
          <w:lang w:val="en-US" w:eastAsia="zh-CN"/>
        </w:rPr>
        <w:t>中标</w:t>
      </w:r>
      <w:r>
        <w:rPr>
          <w:rFonts w:ascii="宋体" w:hAnsi="宋体" w:eastAsia="宋体" w:cs="宋体"/>
          <w:b w:val="0"/>
          <w:bCs/>
          <w:color w:val="auto"/>
          <w:sz w:val="24"/>
          <w:szCs w:val="24"/>
          <w:highlight w:val="none"/>
        </w:rPr>
        <w:t>货物进行分包、转包，</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有权单方解除合同并有权拒付全部货款。</w:t>
      </w:r>
    </w:p>
    <w:p w14:paraId="492648D6">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4．货物安装所需的配件或附加件，在合同签订前由中标供应商提交具体清单给</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确认。</w:t>
      </w:r>
    </w:p>
    <w:p w14:paraId="75E31BBD">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5.中标后生产前，向</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确定所供货物的相关事项，经</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书面确认是否增减后方可投入生产。否则，由此产生的一切后果由投标人负责。</w:t>
      </w:r>
    </w:p>
    <w:p w14:paraId="02853E83">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6.货物初验：货物运抵</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指定地点后由</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6BB195BF">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7.最终验收：中标供应商负责现场安装、调试，待性能指标经验收合格后（附验收报告），中标供应商应与</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共同签署《厦门市政府采购验收报告》。</w:t>
      </w:r>
    </w:p>
    <w:p w14:paraId="527F2E73">
      <w:pPr>
        <w:pStyle w:val="4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★8.投标人必须在投标文件中</w:t>
      </w:r>
      <w:r>
        <w:rPr>
          <w:rFonts w:hint="eastAsia" w:ascii="宋体" w:hAnsi="宋体" w:eastAsia="宋体" w:cs="宋体"/>
          <w:b/>
          <w:color w:val="auto"/>
          <w:sz w:val="24"/>
          <w:szCs w:val="24"/>
          <w:highlight w:val="none"/>
          <w:lang w:eastAsia="zh-CN"/>
        </w:rPr>
        <w:t>书面承诺函（</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ascii="宋体" w:hAnsi="宋体" w:eastAsia="宋体" w:cs="宋体"/>
          <w:b/>
          <w:color w:val="auto"/>
          <w:sz w:val="24"/>
          <w:szCs w:val="24"/>
          <w:highlight w:val="none"/>
        </w:rPr>
        <w:t>：一旦中标，在生产本次采购家具的过程中，邀请</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代表到工厂对产品从进料、开胚、上漆、成型等一系列生产程序进行检查、监督；</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根据合同进度可以采用书面函件形式要求投标人对生产情况合理改进，投标人应予书面答复，并制定完整的整改措施。</w:t>
      </w:r>
    </w:p>
    <w:p w14:paraId="2405F71C">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9.投标人不得虚报各项技术指标，</w:t>
      </w:r>
      <w:r>
        <w:rPr>
          <w:rFonts w:hint="eastAsia" w:ascii="宋体" w:hAnsi="宋体" w:eastAsia="宋体" w:cs="宋体"/>
          <w:b w:val="0"/>
          <w:bCs/>
          <w:color w:val="auto"/>
          <w:sz w:val="24"/>
          <w:szCs w:val="24"/>
          <w:highlight w:val="none"/>
          <w:lang w:val="en-US" w:eastAsia="zh-CN"/>
        </w:rPr>
        <w:t>中标</w:t>
      </w:r>
      <w:r>
        <w:rPr>
          <w:rFonts w:ascii="宋体" w:hAnsi="宋体" w:eastAsia="宋体" w:cs="宋体"/>
          <w:b w:val="0"/>
          <w:bCs/>
          <w:color w:val="auto"/>
          <w:sz w:val="24"/>
          <w:szCs w:val="24"/>
          <w:highlight w:val="none"/>
        </w:rPr>
        <w:t>产品若不能符合技术要求、采购文件及合同约定的，</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有权退货并单方解除合同，中标供应商除退还所有的货款外，还应向支付合同总价50%的违约金。</w:t>
      </w:r>
    </w:p>
    <w:p w14:paraId="43979BB0">
      <w:pPr>
        <w:pStyle w:val="46"/>
        <w:spacing w:line="360" w:lineRule="auto"/>
        <w:ind w:firstLine="482"/>
        <w:jc w:val="both"/>
        <w:rPr>
          <w:rFonts w:ascii="宋体" w:hAnsi="宋体" w:eastAsia="宋体" w:cs="宋体"/>
          <w:b/>
          <w:color w:val="auto"/>
          <w:sz w:val="24"/>
          <w:szCs w:val="24"/>
          <w:highlight w:val="none"/>
        </w:rPr>
      </w:pPr>
      <w:r>
        <w:rPr>
          <w:rFonts w:ascii="宋体" w:hAnsi="宋体" w:eastAsia="宋体" w:cs="宋体"/>
          <w:b/>
          <w:color w:val="auto"/>
          <w:sz w:val="24"/>
          <w:szCs w:val="24"/>
          <w:highlight w:val="none"/>
        </w:rPr>
        <w:t>★10.投标人必须在投标文件中</w:t>
      </w:r>
      <w:r>
        <w:rPr>
          <w:rFonts w:hint="eastAsia" w:ascii="宋体" w:hAnsi="宋体" w:eastAsia="宋体" w:cs="宋体"/>
          <w:b/>
          <w:color w:val="auto"/>
          <w:sz w:val="24"/>
          <w:szCs w:val="24"/>
          <w:highlight w:val="none"/>
          <w:lang w:eastAsia="zh-CN"/>
        </w:rPr>
        <w:t>书面承诺函（</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ascii="宋体" w:hAnsi="宋体" w:eastAsia="宋体" w:cs="宋体"/>
          <w:b/>
          <w:color w:val="auto"/>
          <w:sz w:val="24"/>
          <w:szCs w:val="24"/>
          <w:highlight w:val="none"/>
        </w:rPr>
        <w:t>：一旦</w:t>
      </w:r>
      <w:r>
        <w:rPr>
          <w:rFonts w:hint="eastAsia" w:ascii="宋体" w:hAnsi="宋体" w:eastAsia="宋体" w:cs="宋体"/>
          <w:b/>
          <w:color w:val="auto"/>
          <w:sz w:val="24"/>
          <w:szCs w:val="24"/>
          <w:highlight w:val="none"/>
          <w:lang w:val="en-US" w:eastAsia="zh-CN"/>
        </w:rPr>
        <w:t>中标</w:t>
      </w:r>
      <w:r>
        <w:rPr>
          <w:rFonts w:ascii="宋体" w:hAnsi="宋体" w:eastAsia="宋体" w:cs="宋体"/>
          <w:b/>
          <w:color w:val="auto"/>
          <w:sz w:val="24"/>
          <w:szCs w:val="24"/>
          <w:highlight w:val="none"/>
        </w:rPr>
        <w:t>，在保证按招标文件中要求提供的产品数量进行供货外，还应保证能够免费提供足够的样品供</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邀请相关部门对其在封闭式的环境中进行开放性的检测；如经检测家具环保等指标达不到国家以及招标文件中的要求，投标人应按成交价的2倍金额赔偿给</w:t>
      </w:r>
      <w:r>
        <w:rPr>
          <w:rFonts w:hint="eastAsia" w:ascii="宋体" w:hAnsi="宋体" w:eastAsia="宋体" w:cs="宋体"/>
          <w:b/>
          <w:color w:val="auto"/>
          <w:sz w:val="24"/>
          <w:szCs w:val="24"/>
          <w:highlight w:val="none"/>
          <w:lang w:eastAsia="zh-CN"/>
        </w:rPr>
        <w:t>使用单位，</w:t>
      </w:r>
      <w:r>
        <w:rPr>
          <w:rFonts w:hint="eastAsia" w:ascii="宋体" w:hAnsi="宋体" w:eastAsia="宋体" w:cs="宋体"/>
          <w:b/>
          <w:color w:val="auto"/>
          <w:sz w:val="24"/>
          <w:szCs w:val="24"/>
          <w:highlight w:val="none"/>
          <w:lang w:val="en-US" w:eastAsia="zh-CN"/>
        </w:rPr>
        <w:t>并要求更换符合要求的产品</w:t>
      </w:r>
      <w:r>
        <w:rPr>
          <w:rFonts w:ascii="宋体" w:hAnsi="宋体" w:eastAsia="宋体" w:cs="宋体"/>
          <w:b/>
          <w:color w:val="auto"/>
          <w:sz w:val="24"/>
          <w:szCs w:val="24"/>
          <w:highlight w:val="none"/>
        </w:rPr>
        <w:t>。</w:t>
      </w:r>
    </w:p>
    <w:p w14:paraId="18763484">
      <w:pPr>
        <w:pStyle w:val="13"/>
        <w:keepNext w:val="0"/>
        <w:keepLines w:val="0"/>
        <w:widowControl/>
        <w:suppressLineNumbers w:val="0"/>
        <w:spacing w:before="0" w:beforeAutospacing="0" w:after="0" w:afterAutospacing="0" w:line="360" w:lineRule="auto"/>
        <w:ind w:left="0" w:right="0" w:firstLine="482"/>
        <w:jc w:val="both"/>
        <w:rPr>
          <w:rFonts w:hint="eastAsia" w:ascii="宋体" w:hAnsi="宋体" w:eastAsia="宋体" w:cs="宋体"/>
          <w:b/>
          <w:bCs w:val="0"/>
          <w:color w:val="auto"/>
          <w:sz w:val="24"/>
          <w:szCs w:val="24"/>
          <w:highlight w:val="none"/>
        </w:rPr>
      </w:pPr>
      <w:r>
        <w:rPr>
          <w:rFonts w:ascii="宋体" w:hAnsi="宋体" w:eastAsia="宋体" w:cs="宋体"/>
          <w:b/>
          <w:color w:val="auto"/>
          <w:sz w:val="24"/>
          <w:szCs w:val="24"/>
          <w:highlight w:val="none"/>
        </w:rPr>
        <w:t>11.</w:t>
      </w:r>
      <w:r>
        <w:rPr>
          <w:rFonts w:hint="eastAsia" w:ascii="宋体" w:hAnsi="宋体" w:eastAsia="宋体" w:cs="宋体"/>
          <w:color w:val="auto"/>
          <w:kern w:val="0"/>
          <w:sz w:val="24"/>
          <w:szCs w:val="24"/>
          <w:highlight w:val="none"/>
          <w:lang w:val="en-US" w:eastAsia="zh-CN" w:bidi="ar"/>
        </w:rPr>
        <w:t>投标人承诺：家具安装完毕后，使用单位有权对办公室、教室随机进行室内空气质量检测，费用由中标人支付。（需提供承诺函，格式自拟）</w:t>
      </w:r>
    </w:p>
    <w:p w14:paraId="0BCAF811">
      <w:pPr>
        <w:pStyle w:val="46"/>
        <w:spacing w:line="360" w:lineRule="auto"/>
        <w:ind w:firstLine="482"/>
        <w:jc w:val="both"/>
        <w:rPr>
          <w:rFonts w:hint="default" w:ascii="宋体" w:hAnsi="宋体" w:eastAsia="宋体" w:cs="宋体"/>
          <w:b/>
          <w:color w:val="auto"/>
          <w:sz w:val="24"/>
          <w:szCs w:val="24"/>
          <w:highlight w:val="none"/>
        </w:rPr>
      </w:pPr>
    </w:p>
    <w:p w14:paraId="593C407D">
      <w:pPr>
        <w:pStyle w:val="46"/>
        <w:spacing w:line="360" w:lineRule="auto"/>
        <w:ind w:left="-180" w:right="360" w:firstLine="361"/>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五、货物技术服务要求</w:t>
      </w:r>
    </w:p>
    <w:p w14:paraId="665FEF1C">
      <w:pPr>
        <w:pStyle w:val="4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eastAsia" w:ascii="宋体" w:hAnsi="宋体" w:eastAsia="宋体" w:cs="宋体"/>
          <w:b/>
          <w:color w:val="auto"/>
          <w:sz w:val="24"/>
          <w:szCs w:val="24"/>
          <w:highlight w:val="none"/>
          <w:lang w:val="en-US" w:eastAsia="zh-CN"/>
        </w:rPr>
        <w:t>5</w:t>
      </w:r>
      <w:r>
        <w:rPr>
          <w:rFonts w:ascii="宋体" w:hAnsi="宋体" w:eastAsia="宋体" w:cs="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w:t>
      </w:r>
      <w:r>
        <w:rPr>
          <w:rFonts w:hint="eastAsia" w:ascii="宋体" w:hAnsi="宋体" w:eastAsia="宋体" w:cs="宋体"/>
          <w:b/>
          <w:color w:val="auto"/>
          <w:sz w:val="24"/>
          <w:szCs w:val="24"/>
          <w:highlight w:val="none"/>
          <w:lang w:val="en-US" w:eastAsia="zh-CN"/>
        </w:rPr>
        <w:t>一</w:t>
      </w:r>
      <w:r>
        <w:rPr>
          <w:rFonts w:ascii="宋体" w:hAnsi="宋体" w:eastAsia="宋体" w:cs="宋体"/>
          <w:b/>
          <w:color w:val="auto"/>
          <w:sz w:val="24"/>
          <w:szCs w:val="24"/>
          <w:highlight w:val="none"/>
        </w:rPr>
        <w:t>名专人与</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建立服务联系。</w:t>
      </w:r>
    </w:p>
    <w:p w14:paraId="35347279">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2.投标人应单独列出质保期后年维护费用（全包，包括零配件费用等包干计取，按总报价的百分之几报价）,待质保期过后按实际发生的维护情况由投标人提供相应的票据经</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确认后结算（结算金额不超过此项报价）。投标人应提供免费技术支持力度等情况。</w:t>
      </w:r>
    </w:p>
    <w:p w14:paraId="261C0047">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3.投标人能长期提供良好的技术支持及备品备件的优惠供应。</w:t>
      </w:r>
    </w:p>
    <w:p w14:paraId="24FC8F02">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4.投标人如有其它更好的售后服务应在方案中书面声明。</w:t>
      </w:r>
    </w:p>
    <w:p w14:paraId="3EA264DA">
      <w:pPr>
        <w:pStyle w:val="46"/>
        <w:spacing w:line="360" w:lineRule="auto"/>
        <w:ind w:right="3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六、货物投标报价</w:t>
      </w:r>
    </w:p>
    <w:p w14:paraId="3D2AE6CA">
      <w:pPr>
        <w:pStyle w:val="4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★1.投标人须以人民币报价且报价总价应含货物费、运至</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指定地点的运输费、保险费和伴随服务费（包括产品检验检测）、</w:t>
      </w:r>
      <w:r>
        <w:rPr>
          <w:rFonts w:hint="eastAsia" w:ascii="宋体" w:hAnsi="宋体" w:eastAsia="宋体" w:cs="宋体"/>
          <w:b/>
          <w:color w:val="auto"/>
          <w:sz w:val="24"/>
          <w:szCs w:val="24"/>
          <w:highlight w:val="none"/>
        </w:rPr>
        <w:t>新家具宿舍内旧插座的升级置换</w:t>
      </w:r>
      <w:r>
        <w:rPr>
          <w:rFonts w:hint="eastAsia" w:ascii="宋体" w:hAnsi="宋体" w:eastAsia="宋体" w:cs="宋体"/>
          <w:b/>
          <w:color w:val="auto"/>
          <w:sz w:val="24"/>
          <w:szCs w:val="24"/>
          <w:highlight w:val="none"/>
          <w:lang w:val="en-US" w:eastAsia="zh-CN"/>
        </w:rPr>
        <w:t>费</w:t>
      </w:r>
      <w:r>
        <w:rPr>
          <w:rFonts w:hint="eastAsia" w:ascii="宋体" w:hAnsi="宋体" w:eastAsia="宋体" w:cs="宋体"/>
          <w:b/>
          <w:color w:val="auto"/>
          <w:sz w:val="24"/>
          <w:szCs w:val="24"/>
          <w:highlight w:val="none"/>
          <w:lang w:eastAsia="zh-CN"/>
        </w:rPr>
        <w:t>、</w:t>
      </w:r>
      <w:r>
        <w:rPr>
          <w:rFonts w:ascii="宋体" w:hAnsi="宋体" w:eastAsia="宋体" w:cs="宋体"/>
          <w:b/>
          <w:color w:val="auto"/>
          <w:sz w:val="24"/>
          <w:szCs w:val="24"/>
          <w:highlight w:val="none"/>
        </w:rPr>
        <w:t>安装调试（包括安装所需的辅材、配件等）费用、税收及售后服务等一切与完成本项目相关的费用，报价方式为指定目的地价。一旦中标，合同价款将不予调整。</w:t>
      </w:r>
      <w:r>
        <w:rPr>
          <w:rFonts w:hint="eastAsia" w:ascii="宋体" w:hAnsi="宋体" w:eastAsia="宋体" w:cs="宋体"/>
          <w:b/>
          <w:color w:val="auto"/>
          <w:sz w:val="24"/>
          <w:szCs w:val="24"/>
          <w:highlight w:val="none"/>
          <w:lang w:eastAsia="zh-CN"/>
        </w:rPr>
        <w:t>采购单位</w:t>
      </w:r>
      <w:r>
        <w:rPr>
          <w:rFonts w:ascii="宋体" w:hAnsi="宋体" w:eastAsia="宋体" w:cs="宋体"/>
          <w:b/>
          <w:color w:val="auto"/>
          <w:sz w:val="24"/>
          <w:szCs w:val="24"/>
          <w:highlight w:val="none"/>
        </w:rPr>
        <w:t>不接受有选择的报价。</w:t>
      </w:r>
    </w:p>
    <w:p w14:paraId="42A1F05C">
      <w:pPr>
        <w:pStyle w:val="46"/>
        <w:spacing w:line="360" w:lineRule="auto"/>
        <w:ind w:right="3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七、付款方式</w:t>
      </w:r>
    </w:p>
    <w:p w14:paraId="183EC579">
      <w:pPr>
        <w:pStyle w:val="46"/>
        <w:spacing w:line="360" w:lineRule="auto"/>
        <w:ind w:firstLine="378"/>
        <w:jc w:val="both"/>
        <w:rPr>
          <w:rFonts w:hint="eastAsia"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rPr>
        <w:t>合同签订后</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达到付款条件7</w:t>
      </w:r>
      <w:r>
        <w:rPr>
          <w:rFonts w:hint="eastAsia" w:ascii="宋体" w:hAnsi="宋体" w:eastAsia="宋体" w:cs="宋体"/>
          <w:b w:val="0"/>
          <w:bCs/>
          <w:color w:val="auto"/>
          <w:sz w:val="24"/>
          <w:szCs w:val="24"/>
          <w:highlight w:val="none"/>
        </w:rPr>
        <w:t>个工作日内，买方向卖方支付合同总价50%的预付款。卖方供货安装、调试完毕，</w:t>
      </w:r>
      <w:r>
        <w:rPr>
          <w:rFonts w:hint="eastAsia" w:ascii="宋体" w:hAnsi="宋体" w:eastAsia="宋体" w:cs="宋体"/>
          <w:b w:val="0"/>
          <w:bCs/>
          <w:color w:val="auto"/>
          <w:sz w:val="24"/>
          <w:szCs w:val="24"/>
          <w:highlight w:val="none"/>
          <w:lang w:val="en-US" w:eastAsia="zh-CN"/>
        </w:rPr>
        <w:t>使用单位</w:t>
      </w:r>
      <w:r>
        <w:rPr>
          <w:rFonts w:hint="eastAsia" w:ascii="宋体" w:hAnsi="宋体" w:eastAsia="宋体" w:cs="宋体"/>
          <w:b w:val="0"/>
          <w:bCs/>
          <w:color w:val="auto"/>
          <w:sz w:val="24"/>
          <w:szCs w:val="24"/>
          <w:highlight w:val="none"/>
        </w:rPr>
        <w:t>验收合格后，卖方开具合同总价100%的正规发票（即中标金额的</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%）、《厦门市政府采购验收报告》和全部货物清单给买方，买方收到最终用户</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使用单位</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货款后凭发票及验收报告支付至本合同总价100%的款项（即中标金额的</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w:t>
      </w:r>
    </w:p>
    <w:p w14:paraId="469BDF94">
      <w:pPr>
        <w:pStyle w:val="46"/>
        <w:spacing w:line="360" w:lineRule="auto"/>
        <w:ind w:firstLine="378"/>
        <w:jc w:val="both"/>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eastAsia="zh-CN"/>
        </w:rPr>
        <w:t>1</w:t>
      </w:r>
      <w:r>
        <w:rPr>
          <w:rFonts w:hint="eastAsia" w:ascii="宋体" w:hAnsi="宋体" w:cs="宋体"/>
          <w:color w:val="auto"/>
          <w:kern w:val="0"/>
          <w:sz w:val="24"/>
          <w:szCs w:val="24"/>
          <w:highlight w:val="none"/>
          <w:lang w:val="en-US" w:eastAsia="zh-CN"/>
        </w:rPr>
        <w:t>0</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的3%作为</w:t>
      </w: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eastAsia="zh-CN"/>
        </w:rPr>
        <w:t>履约保证金（</w:t>
      </w:r>
      <w:r>
        <w:rPr>
          <w:rFonts w:hint="eastAsia" w:ascii="宋体" w:hAnsi="宋体" w:cs="宋体"/>
          <w:color w:val="auto"/>
          <w:kern w:val="0"/>
          <w:sz w:val="24"/>
          <w:szCs w:val="24"/>
          <w:highlight w:val="none"/>
          <w:lang w:val="en-US" w:eastAsia="zh-CN"/>
        </w:rPr>
        <w:t>中小企业减半</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1FCEEB55">
      <w:pPr>
        <w:pStyle w:val="46"/>
        <w:spacing w:line="360" w:lineRule="auto"/>
        <w:ind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八、合同签订</w:t>
      </w:r>
    </w:p>
    <w:p w14:paraId="0A4B8372">
      <w:pPr>
        <w:pStyle w:val="46"/>
        <w:spacing w:line="360" w:lineRule="auto"/>
        <w:ind w:firstLine="47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1.中标供应商接到中标通知书后</w:t>
      </w:r>
      <w:r>
        <w:rPr>
          <w:rFonts w:hint="eastAsia" w:ascii="宋体" w:hAnsi="宋体" w:eastAsia="宋体" w:cs="宋体"/>
          <w:b w:val="0"/>
          <w:bCs/>
          <w:color w:val="auto"/>
          <w:sz w:val="24"/>
          <w:szCs w:val="24"/>
          <w:highlight w:val="none"/>
          <w:lang w:val="en-US" w:eastAsia="zh-CN"/>
        </w:rPr>
        <w:t>2</w:t>
      </w:r>
      <w:r>
        <w:rPr>
          <w:rFonts w:ascii="宋体" w:hAnsi="宋体" w:eastAsia="宋体" w:cs="宋体"/>
          <w:b w:val="0"/>
          <w:bCs/>
          <w:color w:val="auto"/>
          <w:sz w:val="24"/>
          <w:szCs w:val="24"/>
          <w:highlight w:val="none"/>
        </w:rPr>
        <w:t>0个日历日内，持中标通知书与</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签订合同。</w:t>
      </w:r>
    </w:p>
    <w:p w14:paraId="26E41B2A">
      <w:pPr>
        <w:pStyle w:val="46"/>
        <w:spacing w:line="360" w:lineRule="auto"/>
        <w:ind w:firstLine="378"/>
        <w:jc w:val="both"/>
        <w:rPr>
          <w:rFonts w:ascii="宋体" w:hAnsi="宋体" w:eastAsia="宋体" w:cs="宋体"/>
          <w:color w:val="auto"/>
          <w:sz w:val="24"/>
          <w:szCs w:val="24"/>
          <w:highlight w:val="none"/>
        </w:rPr>
      </w:pPr>
      <w:r>
        <w:rPr>
          <w:rFonts w:ascii="宋体" w:hAnsi="宋体" w:eastAsia="宋体" w:cs="宋体"/>
          <w:b w:val="0"/>
          <w:bCs/>
          <w:color w:val="auto"/>
          <w:sz w:val="24"/>
          <w:szCs w:val="24"/>
          <w:highlight w:val="none"/>
        </w:rPr>
        <w:t>2.招标文件、投标文件均作为合同订立的基础，为合同组成部分。</w:t>
      </w:r>
    </w:p>
    <w:p w14:paraId="5C5443B4">
      <w:pPr>
        <w:pStyle w:val="46"/>
        <w:spacing w:line="360" w:lineRule="auto"/>
        <w:ind w:right="-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九、其他事项</w:t>
      </w:r>
    </w:p>
    <w:p w14:paraId="558CCF87">
      <w:pPr>
        <w:pStyle w:val="46"/>
        <w:spacing w:line="360" w:lineRule="auto"/>
        <w:ind w:firstLine="482"/>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★1.本项目最高限价为人民币</w:t>
      </w:r>
      <w:r>
        <w:rPr>
          <w:rFonts w:hint="eastAsia" w:ascii="宋体" w:hAnsi="宋体" w:eastAsia="宋体" w:cs="宋体"/>
          <w:b/>
          <w:color w:val="auto"/>
          <w:sz w:val="24"/>
          <w:szCs w:val="24"/>
          <w:highlight w:val="none"/>
          <w:lang w:val="en-US" w:eastAsia="zh-CN"/>
        </w:rPr>
        <w:t>197.38万</w:t>
      </w:r>
      <w:r>
        <w:rPr>
          <w:rFonts w:hint="default" w:ascii="宋体" w:hAnsi="宋体" w:eastAsia="宋体" w:cs="宋体"/>
          <w:b/>
          <w:color w:val="auto"/>
          <w:sz w:val="24"/>
          <w:szCs w:val="24"/>
          <w:highlight w:val="none"/>
          <w:lang w:val="en-US" w:eastAsia="zh-CN"/>
        </w:rPr>
        <w:t>元</w:t>
      </w:r>
      <w:r>
        <w:rPr>
          <w:rFonts w:ascii="宋体" w:hAnsi="宋体" w:eastAsia="宋体" w:cs="宋体"/>
          <w:b/>
          <w:color w:val="auto"/>
          <w:sz w:val="24"/>
          <w:szCs w:val="24"/>
          <w:highlight w:val="none"/>
        </w:rPr>
        <w:t>，投标人不得超过最高限价，否则将做无效投标处理。</w:t>
      </w:r>
    </w:p>
    <w:p w14:paraId="645040BC">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2．投标人在投标文件中详细说明所投货物的技术水平、性能等(材质构成、油漆、内外部结构、五金配件、制造工艺、生产流程、加工设备及其它)。</w:t>
      </w:r>
    </w:p>
    <w:p w14:paraId="450DB19D">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3．附件及零配件：投标人应列出备品/备件及附件的清单及价格。</w:t>
      </w:r>
    </w:p>
    <w:p w14:paraId="0ADFC891">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4．投标人认为有必要提供的其它技术资料。</w:t>
      </w:r>
    </w:p>
    <w:p w14:paraId="3AA9A284">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5．投标人若有其它方面的特殊功能及优惠条件，可在投标文件中注明。</w:t>
      </w:r>
    </w:p>
    <w:p w14:paraId="252BB7C0">
      <w:pPr>
        <w:pStyle w:val="46"/>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6．如</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对采购数量有所调整，将按中标单价调整合同总价，中标供应商不得有异议。如款式及型号有所变动必须经</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书面确认，涉及单价变动的以中标单价为基准，由</w:t>
      </w:r>
      <w:r>
        <w:rPr>
          <w:rFonts w:hint="eastAsia" w:ascii="宋体" w:hAnsi="宋体" w:eastAsia="宋体" w:cs="宋体"/>
          <w:b w:val="0"/>
          <w:bCs/>
          <w:color w:val="auto"/>
          <w:sz w:val="24"/>
          <w:szCs w:val="24"/>
          <w:highlight w:val="none"/>
          <w:lang w:eastAsia="zh-CN"/>
        </w:rPr>
        <w:t>采购单位</w:t>
      </w:r>
      <w:r>
        <w:rPr>
          <w:rFonts w:ascii="宋体" w:hAnsi="宋体" w:eastAsia="宋体" w:cs="宋体"/>
          <w:b w:val="0"/>
          <w:bCs/>
          <w:color w:val="auto"/>
          <w:sz w:val="24"/>
          <w:szCs w:val="24"/>
          <w:highlight w:val="none"/>
        </w:rPr>
        <w:t>和中标供应商协商确定。</w:t>
      </w:r>
    </w:p>
    <w:p w14:paraId="3D71CC26">
      <w:pPr>
        <w:pStyle w:val="46"/>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★7.</w:t>
      </w:r>
      <w:r>
        <w:rPr>
          <w:rFonts w:hint="eastAsia" w:ascii="宋体" w:hAnsi="宋体" w:eastAsia="宋体" w:cs="宋体"/>
          <w:b/>
          <w:color w:val="auto"/>
          <w:sz w:val="24"/>
          <w:szCs w:val="24"/>
          <w:highlight w:val="none"/>
          <w:lang w:val="en-US" w:eastAsia="zh-CN"/>
        </w:rPr>
        <w:t>交货</w:t>
      </w:r>
      <w:r>
        <w:rPr>
          <w:rFonts w:ascii="宋体" w:hAnsi="宋体" w:eastAsia="宋体" w:cs="宋体"/>
          <w:b/>
          <w:color w:val="auto"/>
          <w:sz w:val="24"/>
          <w:szCs w:val="24"/>
          <w:highlight w:val="none"/>
        </w:rPr>
        <w:t>期：</w:t>
      </w:r>
      <w:r>
        <w:rPr>
          <w:rFonts w:hint="default" w:ascii="宋体" w:hAnsi="宋体" w:eastAsia="宋体" w:cs="宋体"/>
          <w:b/>
          <w:color w:val="auto"/>
          <w:sz w:val="24"/>
          <w:szCs w:val="24"/>
          <w:highlight w:val="none"/>
        </w:rPr>
        <w:t>合同签订</w:t>
      </w:r>
      <w:r>
        <w:rPr>
          <w:rFonts w:hint="eastAsia" w:ascii="宋体" w:hAnsi="宋体" w:cs="宋体"/>
          <w:b/>
          <w:color w:val="auto"/>
          <w:sz w:val="24"/>
          <w:szCs w:val="24"/>
          <w:highlight w:val="none"/>
          <w:lang w:val="en-US" w:eastAsia="zh-CN"/>
        </w:rPr>
        <w:t>后，接使用单位通知交货</w:t>
      </w:r>
      <w:r>
        <w:rPr>
          <w:rFonts w:hint="default" w:ascii="宋体" w:hAnsi="宋体" w:eastAsia="宋体" w:cs="宋体"/>
          <w:b/>
          <w:color w:val="auto"/>
          <w:sz w:val="24"/>
          <w:szCs w:val="24"/>
          <w:highlight w:val="none"/>
        </w:rPr>
        <w:t>之日起</w:t>
      </w:r>
      <w:r>
        <w:rPr>
          <w:rFonts w:hint="eastAsia" w:ascii="宋体" w:hAnsi="宋体" w:cs="宋体"/>
          <w:b/>
          <w:color w:val="auto"/>
          <w:sz w:val="24"/>
          <w:szCs w:val="24"/>
          <w:highlight w:val="none"/>
          <w:lang w:val="en-US" w:eastAsia="zh-CN"/>
        </w:rPr>
        <w:t>45</w:t>
      </w:r>
      <w:r>
        <w:rPr>
          <w:rFonts w:hint="default" w:ascii="宋体" w:hAnsi="宋体" w:eastAsia="宋体" w:cs="宋体"/>
          <w:b/>
          <w:color w:val="auto"/>
          <w:sz w:val="24"/>
          <w:szCs w:val="24"/>
          <w:highlight w:val="none"/>
        </w:rPr>
        <w:t>个日历日内</w:t>
      </w:r>
      <w:r>
        <w:rPr>
          <w:rFonts w:hint="default" w:ascii="宋体" w:hAnsi="宋体" w:eastAsia="宋体" w:cs="宋体"/>
          <w:b/>
          <w:color w:val="auto"/>
          <w:sz w:val="24"/>
          <w:szCs w:val="24"/>
          <w:highlight w:val="none"/>
        </w:rPr>
        <w:t>（含交货及安装）。</w:t>
      </w:r>
    </w:p>
    <w:p w14:paraId="315DBF0A">
      <w:pPr>
        <w:pStyle w:val="46"/>
        <w:spacing w:line="360" w:lineRule="auto"/>
        <w:ind w:right="30" w:firstLine="590"/>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8.原件备查指：评审结束后，有质疑投诉或是</w:t>
      </w:r>
      <w:r>
        <w:rPr>
          <w:rFonts w:hint="eastAsia" w:ascii="宋体" w:hAnsi="宋体" w:eastAsia="宋体" w:cs="宋体"/>
          <w:b/>
          <w:color w:val="auto"/>
          <w:sz w:val="24"/>
          <w:szCs w:val="24"/>
          <w:highlight w:val="none"/>
          <w:lang w:eastAsia="zh-CN"/>
        </w:rPr>
        <w:t>采购单位</w:t>
      </w:r>
      <w:r>
        <w:rPr>
          <w:rFonts w:hint="eastAsia" w:ascii="宋体" w:hAnsi="宋体" w:eastAsia="宋体" w:cs="宋体"/>
          <w:b/>
          <w:color w:val="auto"/>
          <w:sz w:val="24"/>
          <w:szCs w:val="24"/>
          <w:highlight w:val="none"/>
          <w:lang w:val="en-US" w:eastAsia="zh-CN"/>
        </w:rPr>
        <w:t>或是使用单位</w:t>
      </w:r>
      <w:r>
        <w:rPr>
          <w:rFonts w:ascii="宋体" w:hAnsi="宋体" w:eastAsia="宋体" w:cs="宋体"/>
          <w:b/>
          <w:color w:val="auto"/>
          <w:sz w:val="24"/>
          <w:szCs w:val="24"/>
          <w:highlight w:val="none"/>
        </w:rPr>
        <w:t>发现虚假应标等情况，投标人需在3个工作日内提交原件核查，否则被视为放弃中标资格或做虚假应标处理。投标人提供书面承诺函（格式自拟）。</w:t>
      </w:r>
    </w:p>
    <w:p w14:paraId="6A458E93">
      <w:pPr>
        <w:pStyle w:val="46"/>
        <w:spacing w:line="360" w:lineRule="auto"/>
        <w:ind w:firstLine="47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★9.投标人须在投标文件中作出响应：投标人若中标，未按工期内完成交付使用并最终验收合格，每逾期一天，罚款为合同总额的千分之一。</w:t>
      </w:r>
    </w:p>
    <w:p w14:paraId="62036E91">
      <w:pPr>
        <w:pStyle w:val="46"/>
        <w:spacing w:line="360" w:lineRule="auto"/>
        <w:ind w:firstLine="480"/>
        <w:jc w:val="both"/>
        <w:rPr>
          <w:rFonts w:hint="default" w:ascii="宋体" w:hAnsi="宋体" w:eastAsia="宋体" w:cs="宋体"/>
          <w:bCs/>
          <w:color w:val="auto"/>
          <w:sz w:val="24"/>
          <w:szCs w:val="24"/>
          <w:highlight w:val="none"/>
          <w:lang w:val="en-US" w:eastAsia="zh-CN"/>
        </w:rPr>
      </w:pPr>
      <w:r>
        <w:rPr>
          <w:rFonts w:ascii="宋体" w:hAnsi="宋体" w:eastAsia="宋体" w:cs="宋体"/>
          <w:b w:val="0"/>
          <w:bCs/>
          <w:color w:val="auto"/>
          <w:sz w:val="24"/>
          <w:szCs w:val="24"/>
          <w:highlight w:val="none"/>
        </w:rPr>
        <w:t>10.本项目施工地点因单位日常办公，中标供应商须采取必要的措施，避免影响其单位正常上班秩序，确保工期如期完成，供应商报价时须提供该措施，包括安全、保洁、噪声等防患以及施工计划安排措施。</w:t>
      </w:r>
      <w:r>
        <w:rPr>
          <w:rFonts w:hint="eastAsia" w:ascii="宋体" w:hAnsi="宋体" w:eastAsia="宋体" w:cs="宋体"/>
          <w:b w:val="0"/>
          <w:bCs/>
          <w:color w:val="auto"/>
          <w:sz w:val="24"/>
          <w:szCs w:val="24"/>
          <w:highlight w:val="none"/>
          <w:lang w:val="en-US" w:eastAsia="zh-CN"/>
        </w:rPr>
        <w:t>如有损坏现场，需恢复原样。</w:t>
      </w:r>
    </w:p>
    <w:p w14:paraId="057E24C9">
      <w:pPr>
        <w:pStyle w:val="46"/>
        <w:spacing w:line="360" w:lineRule="auto"/>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en-US" w:eastAsia="zh-CN"/>
        </w:rPr>
        <w:t xml:space="preserve">  </w:t>
      </w:r>
      <w:r>
        <w:rPr>
          <w:rFonts w:ascii="宋体" w:hAnsi="宋体" w:eastAsia="宋体" w:cs="宋体"/>
          <w:b w:val="0"/>
          <w:bCs/>
          <w:color w:val="auto"/>
          <w:sz w:val="24"/>
          <w:szCs w:val="24"/>
          <w:highlight w:val="none"/>
        </w:rPr>
        <w:t>11.中标供应商负责提供的货物由</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指定的摆放位置，如果指定摆放位置被占用，由中标供应商负责搬运,搬运至</w:t>
      </w:r>
      <w:r>
        <w:rPr>
          <w:rFonts w:hint="eastAsia" w:ascii="宋体" w:hAnsi="宋体" w:eastAsia="宋体" w:cs="宋体"/>
          <w:b w:val="0"/>
          <w:bCs/>
          <w:color w:val="auto"/>
          <w:sz w:val="24"/>
          <w:szCs w:val="24"/>
          <w:highlight w:val="none"/>
          <w:lang w:eastAsia="zh-CN"/>
        </w:rPr>
        <w:t>使用单位</w:t>
      </w:r>
      <w:r>
        <w:rPr>
          <w:rFonts w:ascii="宋体" w:hAnsi="宋体" w:eastAsia="宋体" w:cs="宋体"/>
          <w:b w:val="0"/>
          <w:bCs/>
          <w:color w:val="auto"/>
          <w:sz w:val="24"/>
          <w:szCs w:val="24"/>
          <w:highlight w:val="none"/>
        </w:rPr>
        <w:t>指定位置。</w:t>
      </w:r>
    </w:p>
    <w:p w14:paraId="7DFD1A1B">
      <w:pPr>
        <w:pStyle w:val="46"/>
        <w:spacing w:line="360" w:lineRule="auto"/>
        <w:ind w:firstLine="0"/>
        <w:jc w:val="both"/>
        <w:outlineLvl w:val="2"/>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十</w:t>
      </w:r>
      <w:r>
        <w:rPr>
          <w:rFonts w:ascii="宋体" w:hAnsi="宋体" w:eastAsia="宋体" w:cs="宋体"/>
          <w:b/>
          <w:color w:val="auto"/>
          <w:sz w:val="24"/>
          <w:szCs w:val="24"/>
          <w:highlight w:val="none"/>
        </w:rPr>
        <w:t>、商务要求（以“★”标示的内容为不允许负偏离的实质性要求）</w:t>
      </w:r>
    </w:p>
    <w:p w14:paraId="549C7C2D">
      <w:pPr>
        <w:pStyle w:val="46"/>
        <w:spacing w:line="360" w:lineRule="auto"/>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采购包1：</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01"/>
        <w:gridCol w:w="591"/>
        <w:gridCol w:w="813"/>
        <w:gridCol w:w="6617"/>
      </w:tblGrid>
      <w:tr w14:paraId="2334D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62EE5E35">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序号</w:t>
            </w:r>
          </w:p>
        </w:tc>
        <w:tc>
          <w:tcPr>
            <w:tcW w:w="0" w:type="auto"/>
          </w:tcPr>
          <w:p w14:paraId="07D79120">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参数性质</w:t>
            </w:r>
          </w:p>
        </w:tc>
        <w:tc>
          <w:tcPr>
            <w:tcW w:w="0" w:type="auto"/>
          </w:tcPr>
          <w:p w14:paraId="020AA346">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类型</w:t>
            </w:r>
          </w:p>
        </w:tc>
        <w:tc>
          <w:tcPr>
            <w:tcW w:w="0" w:type="auto"/>
          </w:tcPr>
          <w:p w14:paraId="4D117B08">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要求</w:t>
            </w:r>
          </w:p>
        </w:tc>
      </w:tr>
      <w:tr w14:paraId="6CC24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58063D1D">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w:t>
            </w:r>
          </w:p>
        </w:tc>
        <w:tc>
          <w:tcPr>
            <w:tcW w:w="0" w:type="auto"/>
          </w:tcPr>
          <w:p w14:paraId="55C0D17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0" w:type="auto"/>
          </w:tcPr>
          <w:p w14:paraId="6DB397E0">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交货期</w:t>
            </w:r>
          </w:p>
        </w:tc>
        <w:tc>
          <w:tcPr>
            <w:tcW w:w="0" w:type="auto"/>
          </w:tcPr>
          <w:p w14:paraId="68CFAA01">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w:t>
            </w:r>
            <w:r>
              <w:rPr>
                <w:rFonts w:hint="default" w:ascii="宋体" w:hAnsi="宋体" w:eastAsia="宋体" w:cs="宋体"/>
                <w:b/>
                <w:color w:val="auto"/>
                <w:sz w:val="24"/>
                <w:szCs w:val="24"/>
                <w:highlight w:val="none"/>
              </w:rPr>
              <w:t>合同签订</w:t>
            </w:r>
            <w:r>
              <w:rPr>
                <w:rFonts w:hint="eastAsia" w:ascii="宋体" w:hAnsi="宋体" w:cs="宋体"/>
                <w:b/>
                <w:color w:val="auto"/>
                <w:sz w:val="24"/>
                <w:szCs w:val="24"/>
                <w:highlight w:val="none"/>
                <w:lang w:val="en-US" w:eastAsia="zh-CN"/>
              </w:rPr>
              <w:t>后，接使用单位通知交货</w:t>
            </w:r>
            <w:r>
              <w:rPr>
                <w:rFonts w:hint="default" w:ascii="宋体" w:hAnsi="宋体" w:eastAsia="宋体" w:cs="宋体"/>
                <w:b/>
                <w:color w:val="auto"/>
                <w:sz w:val="24"/>
                <w:szCs w:val="24"/>
                <w:highlight w:val="none"/>
              </w:rPr>
              <w:t>之日起</w:t>
            </w:r>
            <w:r>
              <w:rPr>
                <w:rFonts w:hint="eastAsia" w:ascii="宋体" w:hAnsi="宋体" w:cs="宋体"/>
                <w:b/>
                <w:color w:val="auto"/>
                <w:sz w:val="24"/>
                <w:szCs w:val="24"/>
                <w:highlight w:val="none"/>
                <w:lang w:val="en-US" w:eastAsia="zh-CN"/>
              </w:rPr>
              <w:t>45</w:t>
            </w:r>
            <w:r>
              <w:rPr>
                <w:rFonts w:hint="default" w:ascii="宋体" w:hAnsi="宋体" w:eastAsia="宋体" w:cs="宋体"/>
                <w:b/>
                <w:color w:val="auto"/>
                <w:sz w:val="24"/>
                <w:szCs w:val="24"/>
                <w:highlight w:val="none"/>
              </w:rPr>
              <w:t>个日历日内</w:t>
            </w:r>
            <w:r>
              <w:rPr>
                <w:rFonts w:hint="default" w:ascii="宋体" w:hAnsi="宋体" w:eastAsia="宋体" w:cs="宋体"/>
                <w:b/>
                <w:color w:val="auto"/>
                <w:sz w:val="24"/>
                <w:szCs w:val="24"/>
                <w:highlight w:val="none"/>
              </w:rPr>
              <w:t>（含交货及安装）。</w:t>
            </w:r>
          </w:p>
        </w:tc>
      </w:tr>
      <w:tr w14:paraId="2DD9A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5C967152">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2</w:t>
            </w:r>
          </w:p>
        </w:tc>
        <w:tc>
          <w:tcPr>
            <w:tcW w:w="0" w:type="auto"/>
          </w:tcPr>
          <w:p w14:paraId="381D12B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0" w:type="auto"/>
          </w:tcPr>
          <w:p w14:paraId="4C22179A">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交货地点</w:t>
            </w:r>
          </w:p>
        </w:tc>
        <w:tc>
          <w:tcPr>
            <w:tcW w:w="0" w:type="auto"/>
          </w:tcPr>
          <w:p w14:paraId="2CC13DE7">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指定地点。</w:t>
            </w:r>
          </w:p>
        </w:tc>
      </w:tr>
      <w:tr w14:paraId="5D62A3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47640397">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3</w:t>
            </w:r>
          </w:p>
        </w:tc>
        <w:tc>
          <w:tcPr>
            <w:tcW w:w="0" w:type="auto"/>
          </w:tcPr>
          <w:p w14:paraId="51A939F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0" w:type="auto"/>
          </w:tcPr>
          <w:p w14:paraId="3CF60A53">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交货条件</w:t>
            </w:r>
          </w:p>
        </w:tc>
        <w:tc>
          <w:tcPr>
            <w:tcW w:w="0" w:type="auto"/>
          </w:tcPr>
          <w:p w14:paraId="2EABCC42">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按招标文件及合同约定执行。</w:t>
            </w:r>
          </w:p>
        </w:tc>
      </w:tr>
      <w:tr w14:paraId="43E06E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0035752C">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4</w:t>
            </w:r>
          </w:p>
        </w:tc>
        <w:tc>
          <w:tcPr>
            <w:tcW w:w="0" w:type="auto"/>
          </w:tcPr>
          <w:p w14:paraId="066BA7E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0" w:type="auto"/>
          </w:tcPr>
          <w:p w14:paraId="130EE302">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是否邀请投标人验收</w:t>
            </w:r>
          </w:p>
        </w:tc>
        <w:tc>
          <w:tcPr>
            <w:tcW w:w="0" w:type="auto"/>
          </w:tcPr>
          <w:p w14:paraId="07C93817">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不邀请投标人验收</w:t>
            </w:r>
          </w:p>
        </w:tc>
      </w:tr>
      <w:tr w14:paraId="7385D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94DF9D4">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5</w:t>
            </w:r>
          </w:p>
        </w:tc>
        <w:tc>
          <w:tcPr>
            <w:tcW w:w="0" w:type="auto"/>
          </w:tcPr>
          <w:p w14:paraId="48729A2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0" w:type="auto"/>
          </w:tcPr>
          <w:p w14:paraId="2349344E">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履约验收方式</w:t>
            </w:r>
          </w:p>
        </w:tc>
        <w:tc>
          <w:tcPr>
            <w:tcW w:w="0" w:type="auto"/>
          </w:tcPr>
          <w:p w14:paraId="7A046A00">
            <w:pPr>
              <w:pStyle w:val="46"/>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1、期次1，说明：1．投标人提供货物的制造标准、安装标准、验收标准及技术规范等有关资料应符合国家规定的有关标准、规范要求。 2．投标人应保证提供原产、正宗品牌货物，不得用伪劣货物替代；如出现上述质量问题</w:t>
            </w:r>
            <w:r>
              <w:rPr>
                <w:rFonts w:hint="eastAsia" w:ascii="宋体" w:hAnsi="宋体" w:eastAsia="宋体" w:cs="宋体"/>
                <w:b/>
                <w:color w:val="auto"/>
                <w:sz w:val="24"/>
                <w:szCs w:val="24"/>
                <w:highlight w:val="none"/>
                <w:lang w:eastAsia="zh-CN"/>
              </w:rPr>
              <w:t>采购单位</w:t>
            </w:r>
            <w:r>
              <w:rPr>
                <w:rFonts w:ascii="宋体" w:hAnsi="宋体" w:eastAsia="宋体" w:cs="宋体"/>
                <w:b/>
                <w:color w:val="auto"/>
                <w:sz w:val="24"/>
                <w:szCs w:val="24"/>
                <w:highlight w:val="none"/>
              </w:rPr>
              <w:t>有权退货并解除合同。 3．在生产过程或验收过程中发现中标供应商对</w:t>
            </w:r>
            <w:r>
              <w:rPr>
                <w:rFonts w:hint="eastAsia" w:ascii="宋体" w:hAnsi="宋体" w:eastAsia="宋体" w:cs="宋体"/>
                <w:b/>
                <w:color w:val="auto"/>
                <w:sz w:val="24"/>
                <w:szCs w:val="24"/>
                <w:highlight w:val="none"/>
                <w:lang w:val="en-US" w:eastAsia="zh-CN"/>
              </w:rPr>
              <w:t>中标</w:t>
            </w:r>
            <w:r>
              <w:rPr>
                <w:rFonts w:ascii="宋体" w:hAnsi="宋体" w:eastAsia="宋体" w:cs="宋体"/>
                <w:b/>
                <w:color w:val="auto"/>
                <w:sz w:val="24"/>
                <w:szCs w:val="24"/>
                <w:highlight w:val="none"/>
              </w:rPr>
              <w:t>货物进行分包、转包，</w:t>
            </w:r>
            <w:r>
              <w:rPr>
                <w:rFonts w:hint="eastAsia" w:ascii="宋体" w:hAnsi="宋体" w:eastAsia="宋体" w:cs="宋体"/>
                <w:b/>
                <w:color w:val="auto"/>
                <w:sz w:val="24"/>
                <w:szCs w:val="24"/>
                <w:highlight w:val="none"/>
                <w:lang w:eastAsia="zh-CN"/>
              </w:rPr>
              <w:t>采购单位</w:t>
            </w:r>
            <w:r>
              <w:rPr>
                <w:rFonts w:ascii="宋体" w:hAnsi="宋体" w:eastAsia="宋体" w:cs="宋体"/>
                <w:b/>
                <w:color w:val="auto"/>
                <w:sz w:val="24"/>
                <w:szCs w:val="24"/>
                <w:highlight w:val="none"/>
              </w:rPr>
              <w:t>有权单方解除合同并有权拒付全部货款。 4．货物安装所需的配件或附加件，在合同签订前由中标供应商提交具体清单给</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确认。 5.中标后生产前，向</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确定所供货物的相关事项，经</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书面确认是否增减后方可投入生产。否则，由此产生的一切后果由投标人负责。 6.货物初验：货物运抵</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指定地点后由</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 7.最终验收：中标供应商负责现场安装、调试，待性能指标经验收合格后（附验收报告），中标供应商应与</w:t>
            </w:r>
            <w:r>
              <w:rPr>
                <w:rFonts w:hint="eastAsia" w:ascii="宋体" w:hAnsi="宋体" w:eastAsia="宋体" w:cs="宋体"/>
                <w:b/>
                <w:color w:val="auto"/>
                <w:sz w:val="24"/>
                <w:szCs w:val="24"/>
                <w:highlight w:val="none"/>
                <w:lang w:eastAsia="zh-CN"/>
              </w:rPr>
              <w:t>使用单位</w:t>
            </w:r>
            <w:r>
              <w:rPr>
                <w:rFonts w:ascii="宋体" w:hAnsi="宋体" w:eastAsia="宋体" w:cs="宋体"/>
                <w:b/>
                <w:color w:val="auto"/>
                <w:sz w:val="24"/>
                <w:szCs w:val="24"/>
                <w:highlight w:val="none"/>
              </w:rPr>
              <w:t>共同签署《厦门市政府采购验收报告》。</w:t>
            </w:r>
          </w:p>
        </w:tc>
      </w:tr>
    </w:tbl>
    <w:p w14:paraId="23AE7E24">
      <w:pPr>
        <w:tabs>
          <w:tab w:val="left" w:pos="5130"/>
        </w:tabs>
        <w:spacing w:line="360" w:lineRule="auto"/>
        <w:ind w:firstLine="480" w:firstLineChars="200"/>
        <w:rPr>
          <w:rFonts w:hint="eastAsia" w:ascii="宋体" w:hAnsi="宋体" w:eastAsia="宋体" w:cs="宋体"/>
          <w:color w:val="auto"/>
          <w:sz w:val="24"/>
          <w:szCs w:val="24"/>
          <w:highlight w:val="none"/>
        </w:rPr>
      </w:pPr>
    </w:p>
    <w:p w14:paraId="15241C62">
      <w:pPr>
        <w:tabs>
          <w:tab w:val="left" w:pos="5130"/>
        </w:tabs>
        <w:spacing w:line="360" w:lineRule="auto"/>
        <w:ind w:firstLine="480" w:firstLineChars="200"/>
        <w:rPr>
          <w:rFonts w:hint="eastAsia" w:ascii="宋体" w:hAnsi="宋体" w:eastAsia="宋体" w:cs="宋体"/>
          <w:color w:val="auto"/>
          <w:sz w:val="24"/>
          <w:szCs w:val="24"/>
          <w:highlight w:val="none"/>
        </w:rPr>
      </w:pPr>
    </w:p>
    <w:p w14:paraId="09988FE5">
      <w:pPr>
        <w:tabs>
          <w:tab w:val="left" w:pos="5130"/>
        </w:tabs>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除招标文件另有规定外，若出现有关法律、法规和规章有强制性规定但招标文件未列明的情形，则投标人应按照有关法律、法规和规章强制性规定执行。</w:t>
      </w:r>
    </w:p>
    <w:p w14:paraId="3CB24623">
      <w:pPr>
        <w:tabs>
          <w:tab w:val="left" w:pos="5130"/>
        </w:tabs>
        <w:spacing w:line="360" w:lineRule="auto"/>
        <w:ind w:firstLine="480" w:firstLineChars="200"/>
        <w:rPr>
          <w:rFonts w:hint="eastAsia" w:ascii="宋体" w:hAnsi="宋体" w:eastAsia="宋体" w:cs="宋体"/>
          <w:color w:val="auto"/>
          <w:sz w:val="24"/>
          <w:szCs w:val="24"/>
          <w:highlight w:val="none"/>
        </w:rPr>
      </w:pPr>
    </w:p>
    <w:p w14:paraId="1FBDD830">
      <w:pPr>
        <w:tabs>
          <w:tab w:val="left" w:pos="5130"/>
        </w:tabs>
        <w:spacing w:line="360" w:lineRule="auto"/>
        <w:ind w:firstLine="480" w:firstLineChars="200"/>
        <w:rPr>
          <w:rFonts w:hint="eastAsia" w:ascii="宋体" w:hAnsi="宋体" w:eastAsia="宋体" w:cs="宋体"/>
          <w:color w:val="auto"/>
          <w:sz w:val="24"/>
          <w:szCs w:val="24"/>
          <w:highlight w:val="none"/>
        </w:rPr>
      </w:pPr>
    </w:p>
    <w:p w14:paraId="125BCA73">
      <w:pPr>
        <w:tabs>
          <w:tab w:val="left" w:pos="5130"/>
        </w:tabs>
        <w:spacing w:line="360" w:lineRule="auto"/>
        <w:ind w:firstLine="480" w:firstLineChars="200"/>
        <w:rPr>
          <w:rFonts w:hint="eastAsia" w:ascii="宋体" w:hAnsi="宋体" w:eastAsia="宋体" w:cs="宋体"/>
          <w:color w:val="auto"/>
          <w:sz w:val="24"/>
          <w:szCs w:val="24"/>
          <w:highlight w:val="none"/>
        </w:rPr>
      </w:pPr>
    </w:p>
    <w:p w14:paraId="569EA018">
      <w:pPr>
        <w:tabs>
          <w:tab w:val="left" w:pos="5130"/>
        </w:tabs>
        <w:spacing w:line="360" w:lineRule="auto"/>
        <w:ind w:firstLine="480" w:firstLineChars="200"/>
        <w:rPr>
          <w:rFonts w:hint="eastAsia" w:ascii="宋体" w:hAnsi="宋体" w:eastAsia="宋体" w:cs="宋体"/>
          <w:color w:val="auto"/>
          <w:sz w:val="24"/>
          <w:szCs w:val="24"/>
          <w:highlight w:val="none"/>
        </w:rPr>
      </w:pPr>
    </w:p>
    <w:p w14:paraId="42D4E005">
      <w:pPr>
        <w:tabs>
          <w:tab w:val="left" w:pos="5130"/>
        </w:tabs>
        <w:spacing w:line="360" w:lineRule="auto"/>
        <w:ind w:firstLine="480" w:firstLineChars="200"/>
        <w:rPr>
          <w:rFonts w:hint="eastAsia" w:ascii="宋体" w:hAnsi="宋体" w:eastAsia="宋体" w:cs="宋体"/>
          <w:color w:val="auto"/>
          <w:sz w:val="24"/>
          <w:szCs w:val="24"/>
          <w:highlight w:val="none"/>
        </w:rPr>
      </w:pPr>
    </w:p>
    <w:p w14:paraId="7AEA2304">
      <w:pPr>
        <w:tabs>
          <w:tab w:val="left" w:pos="5130"/>
        </w:tabs>
        <w:spacing w:line="360" w:lineRule="auto"/>
        <w:ind w:firstLine="480" w:firstLineChars="200"/>
        <w:rPr>
          <w:rFonts w:hint="eastAsia" w:ascii="宋体" w:hAnsi="宋体" w:eastAsia="宋体" w:cs="宋体"/>
          <w:color w:val="auto"/>
          <w:sz w:val="24"/>
          <w:szCs w:val="24"/>
          <w:highlight w:val="none"/>
        </w:rPr>
      </w:pPr>
    </w:p>
    <w:p w14:paraId="33B1BAE1">
      <w:pPr>
        <w:tabs>
          <w:tab w:val="left" w:pos="5130"/>
        </w:tabs>
        <w:spacing w:line="360" w:lineRule="auto"/>
        <w:ind w:firstLine="480" w:firstLineChars="200"/>
        <w:rPr>
          <w:rFonts w:hint="eastAsia" w:ascii="宋体" w:hAnsi="宋体" w:eastAsia="宋体" w:cs="宋体"/>
          <w:color w:val="auto"/>
          <w:sz w:val="24"/>
          <w:szCs w:val="24"/>
          <w:highlight w:val="none"/>
        </w:rPr>
      </w:pPr>
    </w:p>
    <w:p w14:paraId="4C610AED">
      <w:pPr>
        <w:tabs>
          <w:tab w:val="left" w:pos="5130"/>
        </w:tabs>
        <w:spacing w:line="360" w:lineRule="auto"/>
        <w:ind w:firstLine="480" w:firstLineChars="200"/>
        <w:rPr>
          <w:rFonts w:hint="eastAsia" w:ascii="宋体" w:hAnsi="宋体" w:eastAsia="宋体" w:cs="宋体"/>
          <w:color w:val="auto"/>
          <w:sz w:val="24"/>
          <w:szCs w:val="24"/>
          <w:highlight w:val="none"/>
        </w:rPr>
      </w:pPr>
    </w:p>
    <w:p w14:paraId="0F714220">
      <w:pPr>
        <w:tabs>
          <w:tab w:val="left" w:pos="5130"/>
        </w:tabs>
        <w:spacing w:line="360" w:lineRule="auto"/>
        <w:ind w:firstLine="480" w:firstLineChars="200"/>
        <w:rPr>
          <w:rFonts w:hint="eastAsia" w:ascii="宋体" w:hAnsi="宋体" w:eastAsia="宋体" w:cs="宋体"/>
          <w:color w:val="auto"/>
          <w:sz w:val="24"/>
          <w:szCs w:val="24"/>
          <w:highlight w:val="none"/>
        </w:rPr>
      </w:pPr>
    </w:p>
    <w:p w14:paraId="4994699B">
      <w:pPr>
        <w:tabs>
          <w:tab w:val="left" w:pos="5130"/>
        </w:tabs>
        <w:spacing w:line="360" w:lineRule="auto"/>
        <w:ind w:firstLine="480" w:firstLineChars="200"/>
        <w:rPr>
          <w:rFonts w:hint="eastAsia" w:ascii="宋体" w:hAnsi="宋体" w:eastAsia="宋体" w:cs="宋体"/>
          <w:color w:val="auto"/>
          <w:sz w:val="24"/>
          <w:szCs w:val="24"/>
          <w:highlight w:val="none"/>
        </w:rPr>
      </w:pPr>
    </w:p>
    <w:p w14:paraId="75E8FFE8">
      <w:pP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p>
    <w:p w14:paraId="3546187C">
      <w:pPr>
        <w:numPr>
          <w:ilvl w:val="255"/>
          <w:numId w:val="0"/>
        </w:numPr>
        <w:spacing w:line="360" w:lineRule="auto"/>
        <w:ind w:firstLine="1285" w:firstLineChars="400"/>
        <w:rPr>
          <w:rFonts w:ascii="宋体" w:hAnsi="宋体" w:cs="宋体"/>
          <w:b/>
          <w:color w:val="auto"/>
          <w:sz w:val="32"/>
          <w:szCs w:val="32"/>
          <w:highlight w:val="none"/>
        </w:rPr>
      </w:pPr>
      <w:r>
        <w:rPr>
          <w:rFonts w:hint="eastAsia" w:ascii="宋体" w:hAnsi="宋体" w:cs="宋体"/>
          <w:b/>
          <w:color w:val="auto"/>
          <w:sz w:val="32"/>
          <w:szCs w:val="32"/>
          <w:highlight w:val="none"/>
        </w:rPr>
        <w:t xml:space="preserve">第四章    </w:t>
      </w:r>
      <w:bookmarkStart w:id="0" w:name="OLE_LINK265"/>
      <w:bookmarkStart w:id="1" w:name="OLE_LINK266"/>
      <w:r>
        <w:rPr>
          <w:rFonts w:hint="eastAsia" w:ascii="宋体" w:hAnsi="宋体" w:cs="宋体"/>
          <w:b/>
          <w:color w:val="auto"/>
          <w:sz w:val="32"/>
          <w:szCs w:val="32"/>
          <w:highlight w:val="none"/>
        </w:rPr>
        <w:t>政府采购货物买卖合同（试行）</w:t>
      </w:r>
      <w:bookmarkEnd w:id="0"/>
      <w:bookmarkEnd w:id="1"/>
    </w:p>
    <w:p w14:paraId="1589D6D0">
      <w:pPr>
        <w:numPr>
          <w:ilvl w:val="255"/>
          <w:numId w:val="0"/>
        </w:numPr>
        <w:spacing w:line="360" w:lineRule="auto"/>
        <w:rPr>
          <w:rFonts w:ascii="宋体" w:hAnsi="宋体" w:cs="宋体"/>
          <w:b/>
          <w:color w:val="auto"/>
          <w:sz w:val="32"/>
          <w:szCs w:val="32"/>
          <w:highlight w:val="none"/>
        </w:rPr>
      </w:pPr>
    </w:p>
    <w:p w14:paraId="381BE259">
      <w:pPr>
        <w:spacing w:line="360" w:lineRule="auto"/>
        <w:rPr>
          <w:rFonts w:hint="eastAsia" w:ascii="宋体" w:hAnsi="宋体" w:eastAsia="宋体" w:cs="宋体"/>
          <w:color w:val="auto"/>
          <w:sz w:val="24"/>
          <w:szCs w:val="24"/>
          <w:highlight w:val="none"/>
        </w:rPr>
      </w:pPr>
    </w:p>
    <w:p w14:paraId="780D73B3">
      <w:pPr>
        <w:rPr>
          <w:color w:val="auto"/>
          <w:highlight w:val="none"/>
        </w:rPr>
      </w:pPr>
    </w:p>
    <w:p w14:paraId="4280476D">
      <w:pPr>
        <w:rPr>
          <w:color w:val="auto"/>
          <w:highlight w:val="none"/>
        </w:rPr>
      </w:pPr>
    </w:p>
    <w:bookmarkEnd w:id="2"/>
    <w:sectPr>
      <w:headerReference r:id="rId8" w:type="default"/>
      <w:footerReference r:id="rId9"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C2B24">
    <w:pPr>
      <w:pStyle w:val="10"/>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C7D8C">
    <w:pPr>
      <w:pStyle w:val="10"/>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003D5">
    <w:pPr>
      <w:pStyle w:val="10"/>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20"/>
        <w:rFonts w:ascii="宋体" w:hAnsi="宋体"/>
      </w:rPr>
      <w:instrText xml:space="preserve"> PAGE </w:instrText>
    </w:r>
    <w:r>
      <w:rPr>
        <w:rFonts w:ascii="宋体" w:hAnsi="宋体"/>
      </w:rPr>
      <w:fldChar w:fldCharType="separate"/>
    </w:r>
    <w:r>
      <w:rPr>
        <w:rStyle w:val="20"/>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84871">
    <w:pPr>
      <w:pStyle w:val="10"/>
      <w:jc w:val="center"/>
      <w:rPr>
        <w:rFonts w:ascii="宋体" w:hAnsi="宋体"/>
      </w:rPr>
    </w:pPr>
    <w:r>
      <w:rPr>
        <w:rStyle w:val="20"/>
        <w:rFonts w:ascii="宋体" w:hAnsi="宋体"/>
        <w:szCs w:val="20"/>
      </w:rPr>
      <w:t>2-1-</w:t>
    </w:r>
    <w:r>
      <w:rPr>
        <w:rFonts w:ascii="宋体" w:hAnsi="宋体"/>
        <w:szCs w:val="20"/>
      </w:rPr>
      <w:fldChar w:fldCharType="begin"/>
    </w:r>
    <w:r>
      <w:rPr>
        <w:rStyle w:val="20"/>
        <w:rFonts w:ascii="宋体" w:hAnsi="宋体"/>
        <w:szCs w:val="20"/>
      </w:rPr>
      <w:instrText xml:space="preserve"> PAGE </w:instrText>
    </w:r>
    <w:r>
      <w:rPr>
        <w:rFonts w:ascii="宋体" w:hAnsi="宋体"/>
        <w:szCs w:val="20"/>
      </w:rPr>
      <w:fldChar w:fldCharType="separate"/>
    </w:r>
    <w:r>
      <w:rPr>
        <w:rStyle w:val="20"/>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45176">
    <w:pPr>
      <w:pStyle w:val="10"/>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20"/>
        <w:rFonts w:ascii="宋体" w:hAnsi="宋体"/>
        <w:szCs w:val="20"/>
      </w:rPr>
      <w:instrText xml:space="preserve"> PAGE </w:instrText>
    </w:r>
    <w:r>
      <w:rPr>
        <w:rFonts w:ascii="宋体" w:hAnsi="宋体"/>
        <w:szCs w:val="20"/>
      </w:rPr>
      <w:fldChar w:fldCharType="separate"/>
    </w:r>
    <w:r>
      <w:rPr>
        <w:rStyle w:val="20"/>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AE647">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9FCD4">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B76203"/>
    <w:rsid w:val="3A1B67E7"/>
    <w:rsid w:val="3A9C18AA"/>
    <w:rsid w:val="42140AA3"/>
    <w:rsid w:val="688D5C0C"/>
    <w:rsid w:val="69CC5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next w:val="1"/>
    <w:qFormat/>
    <w:uiPriority w:val="0"/>
    <w:pPr>
      <w:keepNext/>
      <w:keepLines/>
      <w:widowControl w:val="0"/>
      <w:spacing w:before="260" w:after="260" w:line="416" w:lineRule="auto"/>
      <w:jc w:val="both"/>
      <w:outlineLvl w:val="1"/>
    </w:pPr>
    <w:rPr>
      <w:rFonts w:ascii="Arial" w:hAnsi="Arial" w:eastAsia="黑体" w:cs="Times New Roman"/>
      <w:b/>
      <w:bCs/>
      <w:kern w:val="2"/>
      <w:sz w:val="32"/>
      <w:szCs w:val="32"/>
      <w:lang w:val="en-US" w:eastAsia="zh-CN" w:bidi="ar-SA"/>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3">
    <w:name w:val="Normal Indent"/>
    <w:basedOn w:val="1"/>
    <w:link w:val="23"/>
    <w:qFormat/>
    <w:uiPriority w:val="0"/>
    <w:pPr>
      <w:ind w:firstLine="420"/>
    </w:pPr>
    <w:rPr>
      <w:rFonts w:ascii="Times New Roman" w:hAnsi="Times New Roman"/>
      <w:szCs w:val="20"/>
    </w:rPr>
  </w:style>
  <w:style w:type="paragraph" w:styleId="4">
    <w:name w:val="annotation text"/>
    <w:basedOn w:val="1"/>
    <w:semiHidden/>
    <w:unhideWhenUsed/>
    <w:qFormat/>
    <w:uiPriority w:val="99"/>
    <w:pPr>
      <w:jc w:val="left"/>
    </w:pPr>
  </w:style>
  <w:style w:type="paragraph" w:styleId="5">
    <w:name w:val="Body Text"/>
    <w:basedOn w:val="1"/>
    <w:next w:val="1"/>
    <w:link w:val="24"/>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link w:val="25"/>
    <w:qFormat/>
    <w:uiPriority w:val="0"/>
    <w:rPr>
      <w:rFonts w:ascii="宋体" w:hAnsi="Courier New"/>
      <w:szCs w:val="20"/>
    </w:rPr>
  </w:style>
  <w:style w:type="paragraph" w:styleId="8">
    <w:name w:val="Body Text Indent 2"/>
    <w:basedOn w:val="1"/>
    <w:link w:val="26"/>
    <w:qFormat/>
    <w:uiPriority w:val="0"/>
    <w:pPr>
      <w:spacing w:after="120" w:line="480" w:lineRule="auto"/>
      <w:ind w:left="420"/>
    </w:pPr>
    <w:rPr>
      <w:rFonts w:ascii="Times New Roman" w:hAnsi="Times New Roman"/>
      <w:szCs w:val="20"/>
    </w:rPr>
  </w:style>
  <w:style w:type="paragraph" w:styleId="9">
    <w:name w:val="Balloon Text"/>
    <w:basedOn w:val="1"/>
    <w:link w:val="27"/>
    <w:unhideWhenUsed/>
    <w:qFormat/>
    <w:uiPriority w:val="99"/>
    <w:rPr>
      <w:rFonts w:ascii="Times New Roman" w:hAnsi="Times New Roman"/>
      <w:sz w:val="18"/>
      <w:szCs w:val="18"/>
    </w:rPr>
  </w:style>
  <w:style w:type="paragraph" w:styleId="10">
    <w:name w:val="footer"/>
    <w:basedOn w:val="1"/>
    <w:link w:val="28"/>
    <w:unhideWhenUsed/>
    <w:qFormat/>
    <w:uiPriority w:val="0"/>
    <w:pPr>
      <w:tabs>
        <w:tab w:val="center" w:pos="4153"/>
        <w:tab w:val="right" w:pos="8306"/>
      </w:tabs>
      <w:snapToGrid w:val="0"/>
      <w:jc w:val="left"/>
    </w:pPr>
    <w:rPr>
      <w:sz w:val="18"/>
      <w:szCs w:val="18"/>
    </w:rPr>
  </w:style>
  <w:style w:type="paragraph" w:styleId="11">
    <w:name w:val="header"/>
    <w:basedOn w:val="1"/>
    <w:link w:val="29"/>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3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4">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5">
    <w:name w:val="Body Text First Indent 2"/>
    <w:basedOn w:val="6"/>
    <w:next w:val="1"/>
    <w:qFormat/>
    <w:uiPriority w:val="0"/>
    <w:pPr>
      <w:ind w:firstLine="420" w:firstLineChars="200"/>
    </w:pPr>
  </w:style>
  <w:style w:type="table" w:styleId="17">
    <w:name w:val="Table Grid"/>
    <w:basedOn w:val="16"/>
    <w:qFormat/>
    <w:uiPriority w:val="59"/>
    <w:pPr>
      <w:keepNext w:val="0"/>
      <w:keepLines w:val="0"/>
      <w:widowControl/>
      <w:suppressLineNumbers w:val="0"/>
      <w:spacing w:before="0" w:beforeAutospacing="0" w:after="0" w:afterAutospacing="0"/>
      <w:ind w:left="0" w:right="0"/>
    </w:pPr>
    <w:rPr>
      <w:rFonts w:hint="default"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9">
    <w:name w:val="Strong"/>
    <w:basedOn w:val="18"/>
    <w:qFormat/>
    <w:uiPriority w:val="22"/>
    <w:rPr>
      <w:rFonts w:ascii="Times New Roman" w:hAnsi="Times New Roman" w:eastAsia="宋体" w:cs="Times New Roman"/>
      <w:b/>
      <w:bCs/>
    </w:rPr>
  </w:style>
  <w:style w:type="character" w:styleId="20">
    <w:name w:val="page number"/>
    <w:basedOn w:val="18"/>
    <w:qFormat/>
    <w:uiPriority w:val="0"/>
    <w:rPr>
      <w:rFonts w:ascii="Times New Roman" w:hAnsi="Times New Roman" w:eastAsia="宋体" w:cs="Times New Roman"/>
    </w:rPr>
  </w:style>
  <w:style w:type="character" w:styleId="21">
    <w:name w:val="Emphasis"/>
    <w:basedOn w:val="18"/>
    <w:qFormat/>
    <w:uiPriority w:val="20"/>
    <w:rPr>
      <w:rFonts w:ascii="Times New Roman" w:hAnsi="Times New Roman" w:eastAsia="宋体" w:cs="Times New Roman"/>
      <w:i/>
      <w:iCs/>
    </w:rPr>
  </w:style>
  <w:style w:type="character" w:styleId="22">
    <w:name w:val="Hyperlink"/>
    <w:basedOn w:val="18"/>
    <w:unhideWhenUsed/>
    <w:qFormat/>
    <w:uiPriority w:val="0"/>
    <w:rPr>
      <w:rFonts w:ascii="Times New Roman" w:hAnsi="Times New Roman" w:eastAsia="宋体" w:cs="Times New Roman"/>
      <w:color w:val="0000FF"/>
      <w:u w:val="single"/>
    </w:rPr>
  </w:style>
  <w:style w:type="character" w:customStyle="1" w:styleId="23">
    <w:name w:val="正文缩进 Char"/>
    <w:basedOn w:val="18"/>
    <w:link w:val="3"/>
    <w:qFormat/>
    <w:locked/>
    <w:uiPriority w:val="0"/>
    <w:rPr>
      <w:rFonts w:ascii="Times New Roman" w:hAnsi="Times New Roman" w:eastAsia="宋体" w:cs="Times New Roman"/>
      <w:szCs w:val="20"/>
    </w:rPr>
  </w:style>
  <w:style w:type="character" w:customStyle="1" w:styleId="24">
    <w:name w:val="正文文本 Char"/>
    <w:basedOn w:val="18"/>
    <w:link w:val="5"/>
    <w:qFormat/>
    <w:uiPriority w:val="0"/>
    <w:rPr>
      <w:rFonts w:ascii="幼圆" w:hAnsi="新宋体" w:eastAsia="幼圆" w:cs="Times New Roman"/>
      <w:b/>
      <w:bCs/>
      <w:sz w:val="84"/>
      <w:szCs w:val="20"/>
      <w14:shadow w14:blurRad="50800" w14:dist="38100" w14:dir="2700000" w14:sx="100000" w14:sy="100000" w14:kx="0" w14:ky="0" w14:algn="tl">
        <w14:srgbClr w14:val="000000">
          <w14:alpha w14:val="60000"/>
        </w14:srgbClr>
      </w14:shadow>
    </w:rPr>
  </w:style>
  <w:style w:type="character" w:customStyle="1" w:styleId="25">
    <w:name w:val="纯文本 Char1"/>
    <w:basedOn w:val="18"/>
    <w:link w:val="7"/>
    <w:qFormat/>
    <w:uiPriority w:val="0"/>
    <w:rPr>
      <w:rFonts w:ascii="宋体" w:hAnsi="Courier New" w:eastAsia="宋体" w:cs="Times New Roman"/>
      <w:szCs w:val="20"/>
    </w:rPr>
  </w:style>
  <w:style w:type="character" w:customStyle="1" w:styleId="26">
    <w:name w:val="正文文本缩进 2 Char"/>
    <w:basedOn w:val="18"/>
    <w:link w:val="8"/>
    <w:qFormat/>
    <w:uiPriority w:val="0"/>
    <w:rPr>
      <w:rFonts w:ascii="Times New Roman" w:hAnsi="Times New Roman" w:eastAsia="宋体" w:cs="Times New Roman"/>
      <w:szCs w:val="20"/>
    </w:rPr>
  </w:style>
  <w:style w:type="character" w:customStyle="1" w:styleId="27">
    <w:name w:val="批注框文本 Char"/>
    <w:basedOn w:val="18"/>
    <w:link w:val="9"/>
    <w:semiHidden/>
    <w:qFormat/>
    <w:uiPriority w:val="99"/>
    <w:rPr>
      <w:rFonts w:ascii="Times New Roman" w:hAnsi="Times New Roman" w:eastAsia="宋体" w:cs="Times New Roman"/>
      <w:sz w:val="18"/>
      <w:szCs w:val="18"/>
    </w:rPr>
  </w:style>
  <w:style w:type="character" w:customStyle="1" w:styleId="28">
    <w:name w:val="页脚 Char"/>
    <w:basedOn w:val="18"/>
    <w:link w:val="10"/>
    <w:qFormat/>
    <w:uiPriority w:val="0"/>
    <w:rPr>
      <w:rFonts w:ascii="Times New Roman" w:hAnsi="Times New Roman" w:eastAsia="宋体" w:cs="Times New Roman"/>
      <w:sz w:val="18"/>
      <w:szCs w:val="18"/>
    </w:rPr>
  </w:style>
  <w:style w:type="character" w:customStyle="1" w:styleId="29">
    <w:name w:val="页眉 Char"/>
    <w:basedOn w:val="18"/>
    <w:link w:val="11"/>
    <w:qFormat/>
    <w:uiPriority w:val="0"/>
    <w:rPr>
      <w:rFonts w:ascii="Times New Roman" w:hAnsi="Times New Roman" w:eastAsia="宋体" w:cs="Times New Roman"/>
      <w:sz w:val="18"/>
      <w:szCs w:val="18"/>
    </w:rPr>
  </w:style>
  <w:style w:type="character" w:customStyle="1" w:styleId="30">
    <w:name w:val="HTML 预设格式 Char"/>
    <w:basedOn w:val="18"/>
    <w:link w:val="12"/>
    <w:semiHidden/>
    <w:qFormat/>
    <w:uiPriority w:val="99"/>
    <w:rPr>
      <w:rFonts w:ascii="宋体" w:hAnsi="宋体" w:eastAsia="宋体" w:cs="宋体"/>
      <w:kern w:val="0"/>
      <w:sz w:val="24"/>
      <w:szCs w:val="24"/>
    </w:rPr>
  </w:style>
  <w:style w:type="character" w:customStyle="1" w:styleId="31">
    <w:name w:val="纯文本 Char"/>
    <w:basedOn w:val="18"/>
    <w:qFormat/>
    <w:uiPriority w:val="0"/>
    <w:rPr>
      <w:rFonts w:ascii="宋体" w:hAnsi="Courier New" w:eastAsia="宋体" w:cs="Courier New"/>
      <w:kern w:val="2"/>
      <w:sz w:val="21"/>
      <w:szCs w:val="21"/>
    </w:rPr>
  </w:style>
  <w:style w:type="character" w:customStyle="1" w:styleId="32">
    <w:name w:val="apple-converted-space"/>
    <w:basedOn w:val="18"/>
    <w:qFormat/>
    <w:uiPriority w:val="0"/>
    <w:rPr>
      <w:rFonts w:ascii="Times New Roman" w:hAnsi="Times New Roman" w:eastAsia="宋体" w:cs="Times New Roman"/>
    </w:rPr>
  </w:style>
  <w:style w:type="character" w:customStyle="1" w:styleId="33">
    <w:name w:val="prc_air"/>
    <w:basedOn w:val="18"/>
    <w:qFormat/>
    <w:uiPriority w:val="0"/>
    <w:rPr>
      <w:rFonts w:ascii="Times New Roman" w:hAnsi="Times New Roman" w:eastAsia="宋体" w:cs="Times New Roman"/>
    </w:rPr>
  </w:style>
  <w:style w:type="character" w:customStyle="1" w:styleId="34">
    <w:name w:val="sp_dash"/>
    <w:basedOn w:val="18"/>
    <w:qFormat/>
    <w:uiPriority w:val="0"/>
    <w:rPr>
      <w:rFonts w:ascii="Times New Roman" w:hAnsi="Times New Roman" w:eastAsia="宋体" w:cs="Times New Roman"/>
    </w:rPr>
  </w:style>
  <w:style w:type="paragraph" w:customStyle="1" w:styleId="35">
    <w:name w:val="p_airpor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p_rtax"/>
    <w:basedOn w:val="1"/>
    <w:qFormat/>
    <w:uiPriority w:val="0"/>
    <w:pPr>
      <w:widowControl/>
      <w:spacing w:before="100" w:beforeAutospacing="1" w:after="100" w:afterAutospacing="1"/>
      <w:jc w:val="left"/>
    </w:pPr>
    <w:rPr>
      <w:rFonts w:ascii="宋体" w:hAnsi="宋体" w:cs="宋体"/>
      <w:kern w:val="0"/>
      <w:sz w:val="24"/>
      <w:szCs w:val="24"/>
    </w:rPr>
  </w:style>
  <w:style w:type="paragraph" w:styleId="37">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8">
    <w:name w:val="p_c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40">
    <w:name w:val="p_dat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1">
    <w:name w:val="p_tim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2">
    <w:name w:val="_Style 35"/>
    <w:unhideWhenUsed/>
    <w:qFormat/>
    <w:uiPriority w:val="99"/>
    <w:rPr>
      <w:rFonts w:ascii="Times New Roman" w:hAnsi="Times New Roman" w:eastAsia="宋体" w:cs="Times New Roman"/>
      <w:kern w:val="2"/>
      <w:sz w:val="21"/>
      <w:szCs w:val="22"/>
      <w:lang w:val="en-US" w:eastAsia="zh-CN" w:bidi="ar-SA"/>
    </w:rPr>
  </w:style>
  <w:style w:type="paragraph" w:customStyle="1" w:styleId="43">
    <w:name w:val="p0"/>
    <w:basedOn w:val="1"/>
    <w:qFormat/>
    <w:uiPriority w:val="0"/>
    <w:pPr>
      <w:keepNext w:val="0"/>
      <w:keepLines w:val="0"/>
      <w:widowControl/>
      <w:suppressLineNumbers w:val="0"/>
      <w:spacing w:before="0" w:beforeAutospacing="0" w:after="0" w:afterAutospacing="0"/>
      <w:ind w:left="0" w:right="0"/>
      <w:jc w:val="both"/>
    </w:pPr>
    <w:rPr>
      <w:rFonts w:hint="default" w:ascii="Times New Roman" w:hAnsi="Times New Roman" w:eastAsia="宋体" w:cs="Times New Roman"/>
      <w:kern w:val="0"/>
      <w:sz w:val="21"/>
      <w:szCs w:val="21"/>
      <w:lang w:val="en-US" w:eastAsia="zh-CN" w:bidi="ar"/>
    </w:rPr>
  </w:style>
  <w:style w:type="paragraph" w:customStyle="1" w:styleId="4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5">
    <w:name w:val="列出段落1"/>
    <w:basedOn w:val="1"/>
    <w:qFormat/>
    <w:uiPriority w:val="0"/>
    <w:pPr>
      <w:ind w:firstLine="420" w:firstLineChars="200"/>
    </w:pPr>
    <w:rPr>
      <w:szCs w:val="24"/>
    </w:rPr>
  </w:style>
  <w:style w:type="paragraph" w:customStyle="1" w:styleId="46">
    <w:name w:val="null3"/>
    <w:hidden/>
    <w:qFormat/>
    <w:uiPriority w:val="0"/>
    <w:rPr>
      <w:rFonts w:hint="eastAsia" w:asciiTheme="minorHAnsi" w:hAnsiTheme="minorHAnsi" w:eastAsiaTheme="minorEastAsia" w:cstheme="minorBidi"/>
      <w:lang w:val="en-US" w:eastAsia="zh-Hans"/>
    </w:rPr>
  </w:style>
  <w:style w:type="character" w:customStyle="1" w:styleId="47">
    <w:name w:val="10"/>
    <w:basedOn w:val="18"/>
    <w:qFormat/>
    <w:uiPriority w:val="0"/>
    <w:rPr>
      <w:rFonts w:hint="default" w:ascii="Times New Roman" w:hAnsi="Times New Roman" w:eastAsia="宋体" w:cs="Times New Roman"/>
    </w:rPr>
  </w:style>
  <w:style w:type="character" w:customStyle="1" w:styleId="48">
    <w:name w:val="15"/>
    <w:basedOn w:val="18"/>
    <w:qFormat/>
    <w:uiPriority w:val="0"/>
    <w:rPr>
      <w:rFonts w:hint="default"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0</Words>
  <Characters>0</Characters>
  <Lines>0</Lines>
  <Paragraphs>0</Paragraphs>
  <TotalTime>17</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2026-04-28T08:33:31Z</dcterms:created>
  <dc:creator>Dell</dc:creator>
  <cp:lastModifiedBy>WPS_1528123779</cp:lastModifiedBy>
  <dcterms:modified xsi:type="dcterms:W3CDTF">2026-04-28T08:58:37Z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eyJoZGlkIjoiODQ0NWY5YjE3NGYzMmZkYTI2NTFkNWYyOGEwODRiNzgiLCJ1c2VySWQiOiIzNzYwNDg2NTAifQ==</vt:lpwstr>
  </property>
  <property fmtid="{D5CDD505-2E9C-101B-9397-08002B2CF9AE}" pid="4" name="ICV">
    <vt:lpwstr>889AFFB6A140434185801F3D8DCDE366_12</vt:lpwstr>
  </property>
</Properties>
</file>